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8A73" w14:textId="77777777" w:rsidR="00110E96" w:rsidRDefault="00F97CCB" w:rsidP="00352017">
      <w:pPr>
        <w:pStyle w:val="Title"/>
        <w:spacing w:before="240" w:after="240" w:line="276" w:lineRule="auto"/>
        <w:rPr>
          <w:b/>
          <w:bCs/>
        </w:rPr>
      </w:pPr>
      <w:r w:rsidRPr="00CE5BD8">
        <w:rPr>
          <w:b/>
          <w:bCs/>
          <w:noProof/>
        </w:rPr>
        <w:drawing>
          <wp:anchor distT="0" distB="0" distL="114300" distR="114300" simplePos="0" relativeHeight="251658240" behindDoc="1" locked="0" layoutInCell="1" allowOverlap="1" wp14:anchorId="3D0B2DEE" wp14:editId="7BFF132E">
            <wp:simplePos x="0" y="0"/>
            <wp:positionH relativeFrom="column">
              <wp:posOffset>3438525</wp:posOffset>
            </wp:positionH>
            <wp:positionV relativeFrom="paragraph">
              <wp:posOffset>66675</wp:posOffset>
            </wp:positionV>
            <wp:extent cx="1924050" cy="1917700"/>
            <wp:effectExtent l="0" t="0" r="0" b="6350"/>
            <wp:wrapTight wrapText="bothSides">
              <wp:wrapPolygon edited="0">
                <wp:start x="0" y="0"/>
                <wp:lineTo x="0" y="21457"/>
                <wp:lineTo x="21386" y="21457"/>
                <wp:lineTo x="21386" y="0"/>
                <wp:lineTo x="0" y="0"/>
              </wp:wrapPolygon>
            </wp:wrapTight>
            <wp:docPr id="1371421934" name="Picture 1" descr="This is the project logo. &#10;&#10;A grey circle with Flexible Trial Delivery written in it and a collection of different coloured puzzle pie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1934" name="Picture 1" descr="This is the project logo. &#10;&#10;A grey circle with Flexible Trial Delivery written in it and a collection of different coloured puzzle pieces.">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l="8438" t="8730" r="8491" b="8491"/>
                    <a:stretch>
                      <a:fillRect/>
                    </a:stretch>
                  </pic:blipFill>
                  <pic:spPr bwMode="auto">
                    <a:xfrm>
                      <a:off x="0" y="0"/>
                      <a:ext cx="1924050"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BD8">
        <w:rPr>
          <w:noProof/>
        </w:rPr>
        <w:drawing>
          <wp:inline distT="0" distB="0" distL="0" distR="0" wp14:anchorId="4B87EB89" wp14:editId="09588D6B">
            <wp:extent cx="1933575" cy="1933575"/>
            <wp:effectExtent l="0" t="0" r="9525" b="9525"/>
            <wp:docPr id="1347242838" name="Picture 2" descr="This is the CT:IQ logo. It is a starburst with red, orange and purple dots. Underneath is written &quot;CT:IQ, Clinical Trials: Thinking Sm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2838" name="Picture 2" descr="This is the CT:IQ logo. It is a starburst with red, orange and purple dots. Underneath is written &quot;CT:IQ, Clinical Trials: Thinking Smart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2362" cy="1942362"/>
                    </a:xfrm>
                    <a:prstGeom prst="rect">
                      <a:avLst/>
                    </a:prstGeom>
                    <a:noFill/>
                    <a:ln>
                      <a:noFill/>
                    </a:ln>
                  </pic:spPr>
                </pic:pic>
              </a:graphicData>
            </a:graphic>
          </wp:inline>
        </w:drawing>
      </w:r>
    </w:p>
    <w:p w14:paraId="6E74A875" w14:textId="4E3A123B" w:rsidR="00DA3712" w:rsidRPr="00CE5BD8" w:rsidRDefault="007D05AB" w:rsidP="00352017">
      <w:pPr>
        <w:pStyle w:val="Title"/>
        <w:spacing w:before="240" w:after="240" w:line="276" w:lineRule="auto"/>
        <w:rPr>
          <w:b/>
          <w:bCs/>
        </w:rPr>
      </w:pPr>
      <w:r>
        <w:rPr>
          <w:b/>
          <w:bCs/>
        </w:rPr>
        <w:t>Flexible Trial Delivery Case Studies</w:t>
      </w:r>
    </w:p>
    <w:sdt>
      <w:sdtPr>
        <w:rPr>
          <w:rFonts w:asciiTheme="minorHAnsi" w:eastAsiaTheme="minorHAnsi" w:hAnsiTheme="minorHAnsi" w:cstheme="minorBidi"/>
          <w:b w:val="0"/>
          <w:kern w:val="2"/>
          <w:sz w:val="24"/>
          <w:szCs w:val="24"/>
          <w:lang w:val="en-GB" w:eastAsia="en-US"/>
          <w14:ligatures w14:val="standardContextual"/>
        </w:rPr>
        <w:id w:val="-1441131370"/>
        <w:docPartObj>
          <w:docPartGallery w:val="Table of Contents"/>
          <w:docPartUnique/>
        </w:docPartObj>
      </w:sdtPr>
      <w:sdtEndPr>
        <w:rPr>
          <w:bCs/>
        </w:rPr>
      </w:sdtEndPr>
      <w:sdtContent>
        <w:p w14:paraId="673C882B" w14:textId="1E44EB90" w:rsidR="001F5FD8" w:rsidRDefault="001F5FD8" w:rsidP="00352017">
          <w:pPr>
            <w:pStyle w:val="TOCHeading"/>
            <w:spacing w:line="276" w:lineRule="auto"/>
          </w:pPr>
          <w:r>
            <w:rPr>
              <w:lang w:val="en-GB"/>
            </w:rPr>
            <w:t>Contents</w:t>
          </w:r>
        </w:p>
        <w:p w14:paraId="052C8D79" w14:textId="06EC69DA" w:rsidR="00951D68" w:rsidRDefault="001F5FD8" w:rsidP="00352017">
          <w:pPr>
            <w:pStyle w:val="TOC1"/>
            <w:tabs>
              <w:tab w:val="right" w:leader="dot" w:pos="9016"/>
            </w:tabs>
            <w:spacing w:line="276" w:lineRule="auto"/>
            <w:rPr>
              <w:rFonts w:eastAsiaTheme="minorEastAsia"/>
              <w:noProof/>
              <w:lang w:eastAsia="en-AU"/>
            </w:rPr>
          </w:pPr>
          <w:r>
            <w:fldChar w:fldCharType="begin"/>
          </w:r>
          <w:r>
            <w:instrText xml:space="preserve"> TOC \o "1-1" \h \z \u </w:instrText>
          </w:r>
          <w:r>
            <w:fldChar w:fldCharType="separate"/>
          </w:r>
          <w:hyperlink w:anchor="_Toc230005676" w:history="1">
            <w:r w:rsidR="00951D68" w:rsidRPr="000538BE">
              <w:rPr>
                <w:rStyle w:val="Hyperlink"/>
                <w:noProof/>
              </w:rPr>
              <w:t>Purpose</w:t>
            </w:r>
            <w:r w:rsidR="00951D68">
              <w:rPr>
                <w:noProof/>
                <w:webHidden/>
              </w:rPr>
              <w:tab/>
            </w:r>
            <w:r w:rsidR="00951D68">
              <w:rPr>
                <w:noProof/>
                <w:webHidden/>
              </w:rPr>
              <w:fldChar w:fldCharType="begin"/>
            </w:r>
            <w:r w:rsidR="00951D68">
              <w:rPr>
                <w:noProof/>
                <w:webHidden/>
              </w:rPr>
              <w:instrText xml:space="preserve"> PAGEREF _Toc230005676 \h </w:instrText>
            </w:r>
            <w:r w:rsidR="00951D68">
              <w:rPr>
                <w:noProof/>
                <w:webHidden/>
              </w:rPr>
            </w:r>
            <w:r w:rsidR="00951D68">
              <w:rPr>
                <w:noProof/>
                <w:webHidden/>
              </w:rPr>
              <w:fldChar w:fldCharType="separate"/>
            </w:r>
            <w:r w:rsidR="00F8790C">
              <w:rPr>
                <w:noProof/>
                <w:webHidden/>
              </w:rPr>
              <w:t>2</w:t>
            </w:r>
            <w:r w:rsidR="00951D68">
              <w:rPr>
                <w:noProof/>
                <w:webHidden/>
              </w:rPr>
              <w:fldChar w:fldCharType="end"/>
            </w:r>
          </w:hyperlink>
        </w:p>
        <w:p w14:paraId="193C12EE" w14:textId="076E4703" w:rsidR="00951D68" w:rsidRDefault="00951D68" w:rsidP="00352017">
          <w:pPr>
            <w:pStyle w:val="TOC1"/>
            <w:tabs>
              <w:tab w:val="right" w:leader="dot" w:pos="9016"/>
            </w:tabs>
            <w:spacing w:line="276" w:lineRule="auto"/>
            <w:rPr>
              <w:rFonts w:eastAsiaTheme="minorEastAsia"/>
              <w:noProof/>
              <w:lang w:eastAsia="en-AU"/>
            </w:rPr>
          </w:pPr>
          <w:hyperlink w:anchor="_Toc230005677" w:history="1">
            <w:r w:rsidRPr="000538BE">
              <w:rPr>
                <w:rStyle w:val="Hyperlink"/>
                <w:noProof/>
              </w:rPr>
              <w:t>FTD Case Study 1: IMPACCT strategies for palliative and chronic care research</w:t>
            </w:r>
            <w:r>
              <w:rPr>
                <w:noProof/>
                <w:webHidden/>
              </w:rPr>
              <w:tab/>
            </w:r>
            <w:r>
              <w:rPr>
                <w:noProof/>
                <w:webHidden/>
              </w:rPr>
              <w:fldChar w:fldCharType="begin"/>
            </w:r>
            <w:r>
              <w:rPr>
                <w:noProof/>
                <w:webHidden/>
              </w:rPr>
              <w:instrText xml:space="preserve"> PAGEREF _Toc230005677 \h </w:instrText>
            </w:r>
            <w:r>
              <w:rPr>
                <w:noProof/>
                <w:webHidden/>
              </w:rPr>
            </w:r>
            <w:r>
              <w:rPr>
                <w:noProof/>
                <w:webHidden/>
              </w:rPr>
              <w:fldChar w:fldCharType="separate"/>
            </w:r>
            <w:r w:rsidR="00F8790C">
              <w:rPr>
                <w:noProof/>
                <w:webHidden/>
              </w:rPr>
              <w:t>3</w:t>
            </w:r>
            <w:r>
              <w:rPr>
                <w:noProof/>
                <w:webHidden/>
              </w:rPr>
              <w:fldChar w:fldCharType="end"/>
            </w:r>
          </w:hyperlink>
        </w:p>
        <w:p w14:paraId="30AF023D" w14:textId="1CD2EABC" w:rsidR="00951D68" w:rsidRDefault="00951D68" w:rsidP="00352017">
          <w:pPr>
            <w:pStyle w:val="TOC1"/>
            <w:tabs>
              <w:tab w:val="right" w:leader="dot" w:pos="9016"/>
            </w:tabs>
            <w:spacing w:line="276" w:lineRule="auto"/>
            <w:rPr>
              <w:rFonts w:eastAsiaTheme="minorEastAsia"/>
              <w:noProof/>
              <w:lang w:eastAsia="en-AU"/>
            </w:rPr>
          </w:pPr>
          <w:hyperlink w:anchor="_Toc230005678" w:history="1">
            <w:r w:rsidRPr="000538BE">
              <w:rPr>
                <w:rStyle w:val="Hyperlink"/>
                <w:noProof/>
              </w:rPr>
              <w:t>Case Study 2: IMP access at sites without clinical trial pharmacists</w:t>
            </w:r>
            <w:r>
              <w:rPr>
                <w:noProof/>
                <w:webHidden/>
              </w:rPr>
              <w:tab/>
            </w:r>
            <w:r>
              <w:rPr>
                <w:noProof/>
                <w:webHidden/>
              </w:rPr>
              <w:fldChar w:fldCharType="begin"/>
            </w:r>
            <w:r>
              <w:rPr>
                <w:noProof/>
                <w:webHidden/>
              </w:rPr>
              <w:instrText xml:space="preserve"> PAGEREF _Toc230005678 \h </w:instrText>
            </w:r>
            <w:r>
              <w:rPr>
                <w:noProof/>
                <w:webHidden/>
              </w:rPr>
            </w:r>
            <w:r>
              <w:rPr>
                <w:noProof/>
                <w:webHidden/>
              </w:rPr>
              <w:fldChar w:fldCharType="separate"/>
            </w:r>
            <w:r w:rsidR="00F8790C">
              <w:rPr>
                <w:noProof/>
                <w:webHidden/>
              </w:rPr>
              <w:t>7</w:t>
            </w:r>
            <w:r>
              <w:rPr>
                <w:noProof/>
                <w:webHidden/>
              </w:rPr>
              <w:fldChar w:fldCharType="end"/>
            </w:r>
          </w:hyperlink>
        </w:p>
        <w:p w14:paraId="44F5A677" w14:textId="7D5BA257" w:rsidR="00951D68" w:rsidRDefault="00951D68" w:rsidP="00352017">
          <w:pPr>
            <w:pStyle w:val="TOC1"/>
            <w:tabs>
              <w:tab w:val="right" w:leader="dot" w:pos="9016"/>
            </w:tabs>
            <w:spacing w:line="276" w:lineRule="auto"/>
            <w:rPr>
              <w:rFonts w:eastAsiaTheme="minorEastAsia"/>
              <w:noProof/>
              <w:lang w:eastAsia="en-AU"/>
            </w:rPr>
          </w:pPr>
          <w:hyperlink w:anchor="_Toc230005679" w:history="1">
            <w:r w:rsidRPr="000538BE">
              <w:rPr>
                <w:rStyle w:val="Hyperlink"/>
                <w:noProof/>
              </w:rPr>
              <w:t>Case Study 3: International participant travel</w:t>
            </w:r>
            <w:r>
              <w:rPr>
                <w:noProof/>
                <w:webHidden/>
              </w:rPr>
              <w:tab/>
            </w:r>
            <w:r>
              <w:rPr>
                <w:noProof/>
                <w:webHidden/>
              </w:rPr>
              <w:fldChar w:fldCharType="begin"/>
            </w:r>
            <w:r>
              <w:rPr>
                <w:noProof/>
                <w:webHidden/>
              </w:rPr>
              <w:instrText xml:space="preserve"> PAGEREF _Toc230005679 \h </w:instrText>
            </w:r>
            <w:r>
              <w:rPr>
                <w:noProof/>
                <w:webHidden/>
              </w:rPr>
            </w:r>
            <w:r>
              <w:rPr>
                <w:noProof/>
                <w:webHidden/>
              </w:rPr>
              <w:fldChar w:fldCharType="separate"/>
            </w:r>
            <w:r w:rsidR="00F8790C">
              <w:rPr>
                <w:noProof/>
                <w:webHidden/>
              </w:rPr>
              <w:t>9</w:t>
            </w:r>
            <w:r>
              <w:rPr>
                <w:noProof/>
                <w:webHidden/>
              </w:rPr>
              <w:fldChar w:fldCharType="end"/>
            </w:r>
          </w:hyperlink>
        </w:p>
        <w:p w14:paraId="1F0007F0" w14:textId="44019CAC" w:rsidR="00951D68" w:rsidRDefault="00951D68" w:rsidP="00352017">
          <w:pPr>
            <w:pStyle w:val="TOC1"/>
            <w:tabs>
              <w:tab w:val="right" w:leader="dot" w:pos="9016"/>
            </w:tabs>
            <w:spacing w:line="276" w:lineRule="auto"/>
            <w:rPr>
              <w:rFonts w:eastAsiaTheme="minorEastAsia"/>
              <w:noProof/>
              <w:lang w:eastAsia="en-AU"/>
            </w:rPr>
          </w:pPr>
          <w:hyperlink w:anchor="_Toc230005680" w:history="1">
            <w:r w:rsidRPr="000538BE">
              <w:rPr>
                <w:rStyle w:val="Hyperlink"/>
                <w:noProof/>
              </w:rPr>
              <w:t>Case Study 4: Virtual and direct-to-participant IBS supplement trial</w:t>
            </w:r>
            <w:r>
              <w:rPr>
                <w:noProof/>
                <w:webHidden/>
              </w:rPr>
              <w:tab/>
            </w:r>
            <w:r>
              <w:rPr>
                <w:noProof/>
                <w:webHidden/>
              </w:rPr>
              <w:fldChar w:fldCharType="begin"/>
            </w:r>
            <w:r>
              <w:rPr>
                <w:noProof/>
                <w:webHidden/>
              </w:rPr>
              <w:instrText xml:space="preserve"> PAGEREF _Toc230005680 \h </w:instrText>
            </w:r>
            <w:r>
              <w:rPr>
                <w:noProof/>
                <w:webHidden/>
              </w:rPr>
            </w:r>
            <w:r>
              <w:rPr>
                <w:noProof/>
                <w:webHidden/>
              </w:rPr>
              <w:fldChar w:fldCharType="separate"/>
            </w:r>
            <w:r w:rsidR="00F8790C">
              <w:rPr>
                <w:noProof/>
                <w:webHidden/>
              </w:rPr>
              <w:t>12</w:t>
            </w:r>
            <w:r>
              <w:rPr>
                <w:noProof/>
                <w:webHidden/>
              </w:rPr>
              <w:fldChar w:fldCharType="end"/>
            </w:r>
          </w:hyperlink>
        </w:p>
        <w:p w14:paraId="5F3D3A75" w14:textId="2B99119D" w:rsidR="00951D68" w:rsidRDefault="00951D68" w:rsidP="00352017">
          <w:pPr>
            <w:pStyle w:val="TOC1"/>
            <w:tabs>
              <w:tab w:val="right" w:leader="dot" w:pos="9016"/>
            </w:tabs>
            <w:spacing w:line="276" w:lineRule="auto"/>
            <w:rPr>
              <w:rFonts w:eastAsiaTheme="minorEastAsia"/>
              <w:noProof/>
              <w:lang w:eastAsia="en-AU"/>
            </w:rPr>
          </w:pPr>
          <w:hyperlink w:anchor="_Toc230005681" w:history="1">
            <w:r w:rsidRPr="000538BE">
              <w:rPr>
                <w:rStyle w:val="Hyperlink"/>
                <w:noProof/>
              </w:rPr>
              <w:t>Case Study 5: START Trial prescribing process</w:t>
            </w:r>
            <w:r>
              <w:rPr>
                <w:noProof/>
                <w:webHidden/>
              </w:rPr>
              <w:tab/>
            </w:r>
            <w:r>
              <w:rPr>
                <w:noProof/>
                <w:webHidden/>
              </w:rPr>
              <w:fldChar w:fldCharType="begin"/>
            </w:r>
            <w:r>
              <w:rPr>
                <w:noProof/>
                <w:webHidden/>
              </w:rPr>
              <w:instrText xml:space="preserve"> PAGEREF _Toc230005681 \h </w:instrText>
            </w:r>
            <w:r>
              <w:rPr>
                <w:noProof/>
                <w:webHidden/>
              </w:rPr>
            </w:r>
            <w:r>
              <w:rPr>
                <w:noProof/>
                <w:webHidden/>
              </w:rPr>
              <w:fldChar w:fldCharType="separate"/>
            </w:r>
            <w:r w:rsidR="00F8790C">
              <w:rPr>
                <w:noProof/>
                <w:webHidden/>
              </w:rPr>
              <w:t>15</w:t>
            </w:r>
            <w:r>
              <w:rPr>
                <w:noProof/>
                <w:webHidden/>
              </w:rPr>
              <w:fldChar w:fldCharType="end"/>
            </w:r>
          </w:hyperlink>
        </w:p>
        <w:p w14:paraId="4AF88427" w14:textId="4610A233" w:rsidR="00951D68" w:rsidRDefault="00951D68" w:rsidP="00352017">
          <w:pPr>
            <w:pStyle w:val="TOC1"/>
            <w:tabs>
              <w:tab w:val="right" w:leader="dot" w:pos="9016"/>
            </w:tabs>
            <w:spacing w:line="276" w:lineRule="auto"/>
            <w:rPr>
              <w:rFonts w:eastAsiaTheme="minorEastAsia"/>
              <w:noProof/>
              <w:lang w:eastAsia="en-AU"/>
            </w:rPr>
          </w:pPr>
          <w:hyperlink w:anchor="_Toc230005682" w:history="1">
            <w:r w:rsidRPr="000538BE">
              <w:rPr>
                <w:rStyle w:val="Hyperlink"/>
                <w:noProof/>
              </w:rPr>
              <w:t>Case Study 6: Regional satellite site</w:t>
            </w:r>
            <w:r>
              <w:rPr>
                <w:noProof/>
                <w:webHidden/>
              </w:rPr>
              <w:tab/>
            </w:r>
            <w:r>
              <w:rPr>
                <w:noProof/>
                <w:webHidden/>
              </w:rPr>
              <w:fldChar w:fldCharType="begin"/>
            </w:r>
            <w:r>
              <w:rPr>
                <w:noProof/>
                <w:webHidden/>
              </w:rPr>
              <w:instrText xml:space="preserve"> PAGEREF _Toc230005682 \h </w:instrText>
            </w:r>
            <w:r>
              <w:rPr>
                <w:noProof/>
                <w:webHidden/>
              </w:rPr>
            </w:r>
            <w:r>
              <w:rPr>
                <w:noProof/>
                <w:webHidden/>
              </w:rPr>
              <w:fldChar w:fldCharType="separate"/>
            </w:r>
            <w:r w:rsidR="00F8790C">
              <w:rPr>
                <w:noProof/>
                <w:webHidden/>
              </w:rPr>
              <w:t>18</w:t>
            </w:r>
            <w:r>
              <w:rPr>
                <w:noProof/>
                <w:webHidden/>
              </w:rPr>
              <w:fldChar w:fldCharType="end"/>
            </w:r>
          </w:hyperlink>
        </w:p>
        <w:p w14:paraId="1840CB71" w14:textId="3AF2AA5A" w:rsidR="001F5FD8" w:rsidRDefault="001F5FD8" w:rsidP="00352017">
          <w:pPr>
            <w:spacing w:line="276" w:lineRule="auto"/>
          </w:pPr>
          <w:r>
            <w:fldChar w:fldCharType="end"/>
          </w:r>
        </w:p>
      </w:sdtContent>
    </w:sdt>
    <w:p w14:paraId="3B53E691" w14:textId="77777777" w:rsidR="00CF68D9" w:rsidRDefault="00CF68D9" w:rsidP="00352017">
      <w:pPr>
        <w:spacing w:line="276" w:lineRule="auto"/>
        <w:rPr>
          <w:b/>
          <w:bCs/>
        </w:rPr>
      </w:pPr>
      <w:r w:rsidRPr="005C0976">
        <w:rPr>
          <w:b/>
          <w:bCs/>
        </w:rPr>
        <w:t xml:space="preserve">Published by: CT:IQ </w:t>
      </w:r>
    </w:p>
    <w:p w14:paraId="1CC126CA" w14:textId="77777777" w:rsidR="00CF68D9" w:rsidRDefault="00CF68D9" w:rsidP="00352017">
      <w:pPr>
        <w:spacing w:line="276" w:lineRule="auto"/>
      </w:pPr>
      <w:r w:rsidRPr="00E57218">
        <w:t xml:space="preserve">CT:IQ acknowledges Aboriginal and Torres Strait Islander peoples as the traditional custodians of the land on which we meet, work and learn. We pay our respects to Elders past and present. </w:t>
      </w:r>
    </w:p>
    <w:p w14:paraId="38F9CC41" w14:textId="77777777" w:rsidR="00CF68D9" w:rsidRDefault="00CF68D9" w:rsidP="00352017">
      <w:pPr>
        <w:spacing w:line="276" w:lineRule="auto"/>
      </w:pPr>
      <w:r w:rsidRPr="005C0976">
        <w:t xml:space="preserve">While CT:IQ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 </w:t>
      </w:r>
    </w:p>
    <w:p w14:paraId="621DAE48" w14:textId="77777777" w:rsidR="00CF68D9" w:rsidRDefault="00CF68D9" w:rsidP="00352017">
      <w:pPr>
        <w:spacing w:line="276" w:lineRule="auto"/>
      </w:pPr>
      <w:r w:rsidRPr="005C0976">
        <w:t xml:space="preserve">This work is licensed under a Creative Commons Attribution - Non-Commercial 4.0 International License. ©CT:IQ version 1, May 2026. </w:t>
      </w:r>
    </w:p>
    <w:p w14:paraId="2D8CC320" w14:textId="77777777" w:rsidR="00E57218" w:rsidRDefault="00E57218" w:rsidP="00352017">
      <w:pPr>
        <w:spacing w:line="276" w:lineRule="auto"/>
        <w:rPr>
          <w:b/>
          <w:bCs/>
        </w:rPr>
      </w:pPr>
      <w:r>
        <w:rPr>
          <w:b/>
          <w:bCs/>
        </w:rPr>
        <w:br w:type="page"/>
      </w:r>
    </w:p>
    <w:p w14:paraId="58B07E11" w14:textId="092E624E" w:rsidR="002141B7" w:rsidRPr="002033D7" w:rsidRDefault="004C40AE" w:rsidP="00352017">
      <w:pPr>
        <w:pStyle w:val="Heading1"/>
        <w:spacing w:line="276" w:lineRule="auto"/>
        <w:rPr>
          <w:bCs/>
        </w:rPr>
      </w:pPr>
      <w:bookmarkStart w:id="0" w:name="_Toc230005676"/>
      <w:r>
        <w:lastRenderedPageBreak/>
        <w:t>Purpose</w:t>
      </w:r>
      <w:bookmarkEnd w:id="0"/>
    </w:p>
    <w:p w14:paraId="26F5BF0B" w14:textId="3E93EA27" w:rsidR="004C40AE" w:rsidRDefault="004C40AE" w:rsidP="00352017">
      <w:pPr>
        <w:spacing w:line="276" w:lineRule="auto"/>
        <w:rPr>
          <w:b/>
        </w:rPr>
      </w:pPr>
      <w:r w:rsidRPr="004C40AE">
        <w:t>CT:IQ has worked with its members and the Flexible Trial Delivery project team to develop</w:t>
      </w:r>
      <w:r>
        <w:t xml:space="preserve"> </w:t>
      </w:r>
      <w:r w:rsidRPr="004C40AE">
        <w:t>this suite of Australian case studies. They are intended as illustrations for how clinical trials</w:t>
      </w:r>
      <w:r>
        <w:t xml:space="preserve"> </w:t>
      </w:r>
      <w:r w:rsidRPr="004C40AE">
        <w:t>can be adapted to be more accessible for participants. The case studies demonstrate</w:t>
      </w:r>
      <w:r>
        <w:t xml:space="preserve"> </w:t>
      </w:r>
      <w:r w:rsidRPr="004C40AE">
        <w:t>flexibility that has been introduced at the protocol and site implementation levels, as well as</w:t>
      </w:r>
      <w:r>
        <w:t xml:space="preserve"> </w:t>
      </w:r>
      <w:r w:rsidRPr="004C40AE">
        <w:t>for an individual participant.</w:t>
      </w:r>
    </w:p>
    <w:p w14:paraId="63A4908A" w14:textId="77777777" w:rsidR="002033D7" w:rsidRDefault="002033D7" w:rsidP="00352017">
      <w:pPr>
        <w:spacing w:line="276" w:lineRule="auto"/>
        <w:rPr>
          <w:rFonts w:asciiTheme="majorHAnsi" w:eastAsiaTheme="majorEastAsia" w:hAnsiTheme="majorHAnsi" w:cstheme="majorBidi"/>
          <w:b/>
          <w:sz w:val="56"/>
          <w:szCs w:val="40"/>
        </w:rPr>
      </w:pPr>
      <w:r>
        <w:br w:type="page"/>
      </w:r>
    </w:p>
    <w:p w14:paraId="59D870B6" w14:textId="61E1707D" w:rsidR="00E97DA9" w:rsidRDefault="004C40AE" w:rsidP="00352017">
      <w:pPr>
        <w:pStyle w:val="Heading1"/>
        <w:spacing w:line="276" w:lineRule="auto"/>
      </w:pPr>
      <w:bookmarkStart w:id="1" w:name="_Toc230005677"/>
      <w:r>
        <w:lastRenderedPageBreak/>
        <w:t>Case Study 1: IMPACCT strategies for palliative and chronic care research</w:t>
      </w:r>
      <w:bookmarkEnd w:id="1"/>
    </w:p>
    <w:p w14:paraId="73DB1C3F" w14:textId="0007C3EB" w:rsidR="004C40AE" w:rsidRDefault="004C40AE" w:rsidP="00352017">
      <w:pPr>
        <w:spacing w:line="276" w:lineRule="auto"/>
      </w:pPr>
      <w:r>
        <w:t>Case study provided by: University of Technology Sydney</w:t>
      </w:r>
    </w:p>
    <w:p w14:paraId="55C53A7D" w14:textId="7DC3F63C" w:rsidR="004C40AE" w:rsidRPr="004C40AE" w:rsidRDefault="004C40AE" w:rsidP="00352017">
      <w:pPr>
        <w:spacing w:line="276" w:lineRule="auto"/>
      </w:pPr>
      <w:r>
        <w:t>For more information contact: Professor Meera Agar, itcc@uts.edu.au</w:t>
      </w:r>
    </w:p>
    <w:p w14:paraId="646500FA" w14:textId="14220667" w:rsidR="00466563" w:rsidRPr="00201379" w:rsidRDefault="004C40AE" w:rsidP="00352017">
      <w:pPr>
        <w:pStyle w:val="Heading2"/>
        <w:spacing w:line="276" w:lineRule="auto"/>
        <w:rPr>
          <w:sz w:val="36"/>
          <w:szCs w:val="24"/>
        </w:rPr>
      </w:pPr>
      <w:r w:rsidRPr="00201379">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F71C5B" w:rsidRPr="004D3DA9" w14:paraId="55313C09" w14:textId="77777777" w:rsidTr="002E61B5">
        <w:trPr>
          <w:trHeight w:val="567"/>
        </w:trPr>
        <w:tc>
          <w:tcPr>
            <w:tcW w:w="2112" w:type="dxa"/>
            <w:shd w:val="clear" w:color="auto" w:fill="E8E8E8" w:themeFill="background2"/>
          </w:tcPr>
          <w:p w14:paraId="32D4B24E" w14:textId="17444A57" w:rsidR="00F71C5B" w:rsidRPr="00C20036" w:rsidRDefault="00E66213"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24C92F88" w14:textId="78BE882D" w:rsidR="00F71C5B" w:rsidRPr="00C20036" w:rsidRDefault="00E66213" w:rsidP="00352017">
            <w:pPr>
              <w:spacing w:after="160" w:line="276" w:lineRule="auto"/>
              <w:rPr>
                <w:b/>
                <w:bCs/>
                <w:sz w:val="32"/>
                <w:szCs w:val="32"/>
              </w:rPr>
            </w:pPr>
            <w:r w:rsidRPr="00C20036">
              <w:rPr>
                <w:b/>
                <w:bCs/>
                <w:sz w:val="32"/>
                <w:szCs w:val="32"/>
              </w:rPr>
              <w:t>Description</w:t>
            </w:r>
            <w:r w:rsidR="002033D7">
              <w:rPr>
                <w:b/>
                <w:bCs/>
                <w:sz w:val="32"/>
                <w:szCs w:val="32"/>
              </w:rPr>
              <w:t xml:space="preserve"> of context</w:t>
            </w:r>
          </w:p>
        </w:tc>
      </w:tr>
      <w:tr w:rsidR="00FA1E3F" w:rsidRPr="004D3DA9" w14:paraId="5DB49672" w14:textId="77777777" w:rsidTr="002E61B5">
        <w:trPr>
          <w:trHeight w:val="567"/>
        </w:trPr>
        <w:tc>
          <w:tcPr>
            <w:tcW w:w="2112" w:type="dxa"/>
          </w:tcPr>
          <w:p w14:paraId="6717E251" w14:textId="40C1FCA6" w:rsidR="00FA1E3F" w:rsidRPr="00394D3A" w:rsidRDefault="00466563" w:rsidP="00352017">
            <w:pPr>
              <w:spacing w:after="160" w:line="276" w:lineRule="auto"/>
            </w:pPr>
            <w:r>
              <w:t>Description of trial aim</w:t>
            </w:r>
          </w:p>
        </w:tc>
        <w:tc>
          <w:tcPr>
            <w:tcW w:w="6884" w:type="dxa"/>
          </w:tcPr>
          <w:p w14:paraId="1A522DD2" w14:textId="67C2BE14" w:rsidR="003C23E9" w:rsidRPr="00394D3A" w:rsidRDefault="006D66DC" w:rsidP="00352017">
            <w:pPr>
              <w:spacing w:line="276" w:lineRule="auto"/>
            </w:pPr>
            <w:r w:rsidRPr="006D66DC">
              <w:t>Trials of end-of-life symptom management therapies and strategies.</w:t>
            </w:r>
            <w:r>
              <w:t xml:space="preserve"> </w:t>
            </w:r>
            <w:r w:rsidRPr="006D66DC">
              <w:t>Medications used are usually already on the market, but are being tested for</w:t>
            </w:r>
            <w:r>
              <w:t xml:space="preserve"> </w:t>
            </w:r>
            <w:r w:rsidRPr="006D66DC">
              <w:t>a different population, route or indication.</w:t>
            </w:r>
          </w:p>
        </w:tc>
      </w:tr>
      <w:tr w:rsidR="00FA1E3F" w:rsidRPr="004D3DA9" w14:paraId="55C1D98F" w14:textId="77777777" w:rsidTr="002E61B5">
        <w:trPr>
          <w:trHeight w:val="567"/>
        </w:trPr>
        <w:tc>
          <w:tcPr>
            <w:tcW w:w="2112" w:type="dxa"/>
          </w:tcPr>
          <w:p w14:paraId="5CD917FC" w14:textId="0FBF4AE7" w:rsidR="00FA1E3F" w:rsidRPr="00394D3A" w:rsidRDefault="00466563" w:rsidP="00352017">
            <w:pPr>
              <w:spacing w:after="160" w:line="276" w:lineRule="auto"/>
            </w:pPr>
            <w:r>
              <w:t>Trial size and location(s)</w:t>
            </w:r>
          </w:p>
        </w:tc>
        <w:tc>
          <w:tcPr>
            <w:tcW w:w="6884" w:type="dxa"/>
          </w:tcPr>
          <w:p w14:paraId="2401AAFA" w14:textId="558E6EF6" w:rsidR="006D66DC" w:rsidRDefault="006D66DC" w:rsidP="00352017">
            <w:pPr>
              <w:spacing w:line="276" w:lineRule="auto"/>
            </w:pPr>
            <w:r w:rsidRPr="006D66DC">
              <w:t>The groups trials are usually short (days to weeks long) due to the</w:t>
            </w:r>
            <w:r>
              <w:t xml:space="preserve"> </w:t>
            </w:r>
            <w:r w:rsidRPr="006D66DC">
              <w:t>participants stage of life.</w:t>
            </w:r>
          </w:p>
          <w:p w14:paraId="5D1AD43C" w14:textId="77777777" w:rsidR="00461F48" w:rsidRPr="006D66DC" w:rsidRDefault="00461F48" w:rsidP="00352017">
            <w:pPr>
              <w:spacing w:line="276" w:lineRule="auto"/>
            </w:pPr>
          </w:p>
          <w:p w14:paraId="0BB30DE0" w14:textId="00B4D3DD" w:rsidR="006D66DC" w:rsidRDefault="006D66DC" w:rsidP="00352017">
            <w:pPr>
              <w:spacing w:line="276" w:lineRule="auto"/>
            </w:pPr>
            <w:r w:rsidRPr="006D66DC">
              <w:t>There is a focus on inclusion/exclusion criteria being as short/simple as</w:t>
            </w:r>
            <w:r>
              <w:t xml:space="preserve"> </w:t>
            </w:r>
            <w:r w:rsidRPr="006D66DC">
              <w:t>possible. The participants are those who have the disease or symptom and</w:t>
            </w:r>
            <w:r>
              <w:t xml:space="preserve"> </w:t>
            </w:r>
            <w:r w:rsidRPr="006D66DC">
              <w:t>who would be most likely receive the treatment in a real-world setting.</w:t>
            </w:r>
            <w:r w:rsidR="00377E0D">
              <w:t xml:space="preserve"> </w:t>
            </w:r>
            <w:r w:rsidRPr="006D66DC">
              <w:t>The trials are usually multi-site due to low population numbers and limited</w:t>
            </w:r>
            <w:r>
              <w:t xml:space="preserve"> </w:t>
            </w:r>
            <w:r w:rsidRPr="006D66DC">
              <w:t>recruitment potential at any single site. The sites are mostly metropolitan</w:t>
            </w:r>
            <w:r>
              <w:t xml:space="preserve"> </w:t>
            </w:r>
            <w:r w:rsidRPr="006D66DC">
              <w:t>due to palliative service locations. There have been a small number of trials</w:t>
            </w:r>
            <w:r>
              <w:t xml:space="preserve"> </w:t>
            </w:r>
            <w:r w:rsidRPr="006D66DC">
              <w:t>which include larger regional services, and none yet in remote locations due</w:t>
            </w:r>
            <w:r>
              <w:t xml:space="preserve"> </w:t>
            </w:r>
            <w:r w:rsidRPr="006D66DC">
              <w:t>to logistics and very low recruitment populations. One trial in development</w:t>
            </w:r>
            <w:r w:rsidR="00377E0D">
              <w:t xml:space="preserve"> </w:t>
            </w:r>
            <w:r w:rsidRPr="006D66DC">
              <w:t>will include a remote location.</w:t>
            </w:r>
          </w:p>
          <w:p w14:paraId="709B3F61" w14:textId="77777777" w:rsidR="00F22885" w:rsidRPr="006D66DC" w:rsidRDefault="00F22885" w:rsidP="00352017">
            <w:pPr>
              <w:spacing w:line="276" w:lineRule="auto"/>
            </w:pPr>
          </w:p>
          <w:p w14:paraId="6B53D099" w14:textId="5C80A899" w:rsidR="006D66DC" w:rsidRDefault="006D66DC" w:rsidP="00352017">
            <w:pPr>
              <w:spacing w:line="276" w:lineRule="auto"/>
            </w:pPr>
            <w:r w:rsidRPr="006D66DC">
              <w:t>Sample sizes vary according to the primary outcome calculations, ranging</w:t>
            </w:r>
            <w:r>
              <w:t xml:space="preserve"> </w:t>
            </w:r>
            <w:r w:rsidRPr="006D66DC">
              <w:t>from very low in pilot or feasibility studies, to 200+ for phase 3 studies</w:t>
            </w:r>
            <w:r w:rsidR="00F22885">
              <w:t>.</w:t>
            </w:r>
          </w:p>
          <w:p w14:paraId="3B2DF9DB" w14:textId="77777777" w:rsidR="00F22885" w:rsidRPr="006D66DC" w:rsidRDefault="00F22885" w:rsidP="00352017">
            <w:pPr>
              <w:spacing w:line="276" w:lineRule="auto"/>
            </w:pPr>
          </w:p>
          <w:p w14:paraId="0F79FBE9" w14:textId="36D0218F" w:rsidR="00754C37" w:rsidRPr="00394D3A" w:rsidRDefault="006D66DC" w:rsidP="00352017">
            <w:pPr>
              <w:spacing w:line="276" w:lineRule="auto"/>
            </w:pPr>
            <w:r w:rsidRPr="006D66DC">
              <w:t>Trials often ask for carer input as well (burden of care, impact of symptoms),</w:t>
            </w:r>
            <w:r>
              <w:t xml:space="preserve"> </w:t>
            </w:r>
            <w:r w:rsidRPr="006D66DC">
              <w:t>and most trials also collect health economic data to support assessment of</w:t>
            </w:r>
            <w:r>
              <w:t xml:space="preserve"> </w:t>
            </w:r>
            <w:r w:rsidRPr="006D66DC">
              <w:t>the impact of the symptom and/or treatment.</w:t>
            </w:r>
          </w:p>
        </w:tc>
      </w:tr>
      <w:tr w:rsidR="00E66213" w:rsidRPr="004D3DA9" w14:paraId="5F792930" w14:textId="77777777" w:rsidTr="002E61B5">
        <w:trPr>
          <w:trHeight w:val="567"/>
        </w:trPr>
        <w:tc>
          <w:tcPr>
            <w:tcW w:w="2112" w:type="dxa"/>
          </w:tcPr>
          <w:p w14:paraId="29074FB2" w14:textId="30358854" w:rsidR="00E66213" w:rsidRDefault="00E66213" w:rsidP="00352017">
            <w:pPr>
              <w:spacing w:line="276" w:lineRule="auto"/>
            </w:pPr>
            <w:r>
              <w:lastRenderedPageBreak/>
              <w:t>Sponsor</w:t>
            </w:r>
          </w:p>
        </w:tc>
        <w:tc>
          <w:tcPr>
            <w:tcW w:w="6884" w:type="dxa"/>
          </w:tcPr>
          <w:p w14:paraId="18891F0E" w14:textId="710A3CF1" w:rsidR="00E66213" w:rsidRPr="006D66DC" w:rsidRDefault="005C7DF6" w:rsidP="00352017">
            <w:pPr>
              <w:spacing w:line="276" w:lineRule="auto"/>
            </w:pPr>
            <w:r w:rsidRPr="005C7DF6">
              <w:t>The sponsor is usually the University of Technology Sydney, for</w:t>
            </w:r>
            <w:r>
              <w:t xml:space="preserve"> </w:t>
            </w:r>
            <w:r w:rsidRPr="005C7DF6">
              <w:t>Collaborative Group approved trials. Trials often focused on questions</w:t>
            </w:r>
            <w:r>
              <w:t xml:space="preserve"> </w:t>
            </w:r>
            <w:r w:rsidRPr="005C7DF6">
              <w:t>arising from clinical practice of the group’s members. Work is conducted</w:t>
            </w:r>
            <w:r>
              <w:t xml:space="preserve"> </w:t>
            </w:r>
            <w:r w:rsidRPr="005C7DF6">
              <w:t>with competitive/local funding.</w:t>
            </w:r>
          </w:p>
        </w:tc>
      </w:tr>
      <w:tr w:rsidR="00E66213" w:rsidRPr="004D3DA9" w14:paraId="5FA1454B" w14:textId="77777777" w:rsidTr="002E61B5">
        <w:trPr>
          <w:trHeight w:val="567"/>
        </w:trPr>
        <w:tc>
          <w:tcPr>
            <w:tcW w:w="2112" w:type="dxa"/>
          </w:tcPr>
          <w:p w14:paraId="58BCA9AC" w14:textId="77777777" w:rsidR="005C7DF6" w:rsidRDefault="005C7DF6" w:rsidP="00352017">
            <w:pPr>
              <w:spacing w:line="276" w:lineRule="auto"/>
            </w:pPr>
            <w:r>
              <w:t>Why were flexible</w:t>
            </w:r>
          </w:p>
          <w:p w14:paraId="2F695C97" w14:textId="58C60F5D" w:rsidR="00E66213" w:rsidRDefault="005C7DF6" w:rsidP="00352017">
            <w:pPr>
              <w:spacing w:line="276" w:lineRule="auto"/>
            </w:pPr>
            <w:r>
              <w:t>trial elements used?</w:t>
            </w:r>
          </w:p>
        </w:tc>
        <w:tc>
          <w:tcPr>
            <w:tcW w:w="6884" w:type="dxa"/>
          </w:tcPr>
          <w:p w14:paraId="7811D83B" w14:textId="7FE165FE" w:rsidR="00E66213" w:rsidRPr="006D66DC" w:rsidRDefault="005C7DF6" w:rsidP="00352017">
            <w:pPr>
              <w:spacing w:line="276" w:lineRule="auto"/>
            </w:pPr>
            <w:r w:rsidRPr="005C7DF6">
              <w:t>The participant population is in a delicate stage of life where any research</w:t>
            </w:r>
            <w:r>
              <w:t xml:space="preserve"> </w:t>
            </w:r>
            <w:r w:rsidRPr="005C7DF6">
              <w:t>activity needs to fit in with the time available and their physical, emotional</w:t>
            </w:r>
            <w:r>
              <w:t xml:space="preserve"> </w:t>
            </w:r>
            <w:r w:rsidRPr="005C7DF6">
              <w:t>and cognitive capacity, and the existing burden on the families. This means</w:t>
            </w:r>
            <w:r>
              <w:t xml:space="preserve"> </w:t>
            </w:r>
            <w:r w:rsidRPr="005C7DF6">
              <w:t>there is a focus on meeting participants where they are (with visits offered at</w:t>
            </w:r>
            <w:r>
              <w:t xml:space="preserve"> </w:t>
            </w:r>
            <w:r w:rsidRPr="005C7DF6">
              <w:t>their home), or times with existing clinical visits, and a focus honouring their</w:t>
            </w:r>
            <w:r>
              <w:t xml:space="preserve"> </w:t>
            </w:r>
            <w:r w:rsidRPr="005C7DF6">
              <w:t>time and contribution.</w:t>
            </w:r>
          </w:p>
        </w:tc>
      </w:tr>
      <w:tr w:rsidR="00E66213" w:rsidRPr="004D3DA9" w14:paraId="506D0AAC" w14:textId="77777777" w:rsidTr="002E61B5">
        <w:trPr>
          <w:trHeight w:val="567"/>
        </w:trPr>
        <w:tc>
          <w:tcPr>
            <w:tcW w:w="2112" w:type="dxa"/>
          </w:tcPr>
          <w:p w14:paraId="7495AE74" w14:textId="77777777" w:rsidR="00A77778" w:rsidRDefault="00A77778" w:rsidP="00352017">
            <w:pPr>
              <w:spacing w:line="276" w:lineRule="auto"/>
            </w:pPr>
            <w:r>
              <w:t>What flexible</w:t>
            </w:r>
          </w:p>
          <w:p w14:paraId="12350B25" w14:textId="2D529CCD" w:rsidR="00E66213" w:rsidRDefault="00A77778" w:rsidP="00352017">
            <w:pPr>
              <w:spacing w:line="276" w:lineRule="auto"/>
            </w:pPr>
            <w:r>
              <w:t>elements were used?</w:t>
            </w:r>
          </w:p>
        </w:tc>
        <w:tc>
          <w:tcPr>
            <w:tcW w:w="6884" w:type="dxa"/>
          </w:tcPr>
          <w:p w14:paraId="65DC9E66" w14:textId="77777777" w:rsidR="00A77778" w:rsidRPr="00A77778" w:rsidRDefault="00A77778" w:rsidP="00352017">
            <w:pPr>
              <w:spacing w:line="276" w:lineRule="auto"/>
            </w:pPr>
            <w:r w:rsidRPr="00A77778">
              <w:t>Main flexibility around the timing and location of visits.</w:t>
            </w:r>
          </w:p>
          <w:p w14:paraId="5F20818D" w14:textId="4D8054F7" w:rsidR="00A77778" w:rsidRPr="00A77778" w:rsidRDefault="00A77778" w:rsidP="00352017">
            <w:pPr>
              <w:pStyle w:val="ListParagraph"/>
              <w:numPr>
                <w:ilvl w:val="0"/>
                <w:numId w:val="39"/>
              </w:numPr>
              <w:spacing w:line="276" w:lineRule="auto"/>
            </w:pPr>
            <w:r w:rsidRPr="00A77778">
              <w:t>If there are multiple assessments at a visit, they are scheduled to allow</w:t>
            </w:r>
            <w:r>
              <w:t xml:space="preserve"> </w:t>
            </w:r>
            <w:r w:rsidRPr="00A77778">
              <w:t>for fatigue and illness. Assessments are prioritised:</w:t>
            </w:r>
          </w:p>
          <w:p w14:paraId="7D16E1CD" w14:textId="77777777" w:rsidR="00A77778" w:rsidRPr="00A77778" w:rsidRDefault="00A77778" w:rsidP="00352017">
            <w:pPr>
              <w:pStyle w:val="ListParagraph"/>
              <w:numPr>
                <w:ilvl w:val="1"/>
                <w:numId w:val="39"/>
              </w:numPr>
              <w:spacing w:line="276" w:lineRule="auto"/>
            </w:pPr>
            <w:r w:rsidRPr="00A77778">
              <w:t>safety related assessments done first</w:t>
            </w:r>
          </w:p>
          <w:p w14:paraId="6DF9C738" w14:textId="7B245312" w:rsidR="00A77778" w:rsidRPr="00A77778" w:rsidRDefault="00A77778" w:rsidP="00352017">
            <w:pPr>
              <w:pStyle w:val="ListParagraph"/>
              <w:numPr>
                <w:ilvl w:val="1"/>
                <w:numId w:val="39"/>
              </w:numPr>
              <w:spacing w:line="276" w:lineRule="auto"/>
            </w:pPr>
            <w:r w:rsidRPr="00A77778">
              <w:t>assessments related to the primary outcome (usually symptom</w:t>
            </w:r>
            <w:r w:rsidR="00F50433">
              <w:t xml:space="preserve"> </w:t>
            </w:r>
            <w:r w:rsidRPr="00A77778">
              <w:t>management) done second</w:t>
            </w:r>
          </w:p>
          <w:p w14:paraId="225CAE59" w14:textId="77777777" w:rsidR="00A77778" w:rsidRPr="00A77778" w:rsidRDefault="00A77778" w:rsidP="00352017">
            <w:pPr>
              <w:pStyle w:val="ListParagraph"/>
              <w:numPr>
                <w:ilvl w:val="1"/>
                <w:numId w:val="39"/>
              </w:numPr>
              <w:spacing w:line="276" w:lineRule="auto"/>
            </w:pPr>
            <w:r w:rsidRPr="00A77778">
              <w:t>assessments related to secondary outcomes done if time permits.</w:t>
            </w:r>
          </w:p>
          <w:p w14:paraId="65076FFB" w14:textId="7C87E76D" w:rsidR="00A77778" w:rsidRPr="00A77778" w:rsidRDefault="00A77778" w:rsidP="00352017">
            <w:pPr>
              <w:pStyle w:val="ListParagraph"/>
              <w:numPr>
                <w:ilvl w:val="0"/>
                <w:numId w:val="39"/>
              </w:numPr>
              <w:spacing w:line="276" w:lineRule="auto"/>
            </w:pPr>
            <w:r w:rsidRPr="00A77778">
              <w:t>Assessments done mostly by self-report rather than testing or physical</w:t>
            </w:r>
            <w:r w:rsidR="00F50433">
              <w:t xml:space="preserve"> </w:t>
            </w:r>
            <w:r w:rsidRPr="00A77778">
              <w:t>assessment. If possible, reviews done by telephone to limit number of</w:t>
            </w:r>
            <w:r w:rsidR="00F50433">
              <w:t xml:space="preserve"> </w:t>
            </w:r>
            <w:r w:rsidRPr="00A77778">
              <w:t>people visiting the home.</w:t>
            </w:r>
          </w:p>
          <w:p w14:paraId="1B79F27C" w14:textId="50600074" w:rsidR="00A77778" w:rsidRPr="00A77778" w:rsidRDefault="00A77778" w:rsidP="00352017">
            <w:pPr>
              <w:pStyle w:val="ListParagraph"/>
              <w:numPr>
                <w:ilvl w:val="0"/>
                <w:numId w:val="39"/>
              </w:numPr>
              <w:spacing w:line="276" w:lineRule="auto"/>
            </w:pPr>
            <w:r w:rsidRPr="00A77778">
              <w:t>All visits have windows (usually +/-1 or 2 days) to enable participants to</w:t>
            </w:r>
            <w:r w:rsidR="00F50433">
              <w:t xml:space="preserve"> </w:t>
            </w:r>
            <w:r w:rsidRPr="00A77778">
              <w:t>attend to other appointments, family matters and their quality of life.</w:t>
            </w:r>
          </w:p>
          <w:p w14:paraId="7F609BA0" w14:textId="2B557903" w:rsidR="00A77778" w:rsidRPr="00A77778" w:rsidRDefault="00A77778" w:rsidP="00352017">
            <w:pPr>
              <w:pStyle w:val="ListParagraph"/>
              <w:numPr>
                <w:ilvl w:val="0"/>
                <w:numId w:val="39"/>
              </w:numPr>
              <w:spacing w:line="276" w:lineRule="auto"/>
            </w:pPr>
            <w:r w:rsidRPr="00A77778">
              <w:t>Timing of symptom collection adjusted to reflect the expected changes</w:t>
            </w:r>
            <w:r w:rsidR="00F50433">
              <w:t xml:space="preserve"> </w:t>
            </w:r>
            <w:r w:rsidRPr="00A77778">
              <w:t>in the symptom of interest, with a focus on collecting the minimum</w:t>
            </w:r>
            <w:r w:rsidR="00F50433">
              <w:t xml:space="preserve"> </w:t>
            </w:r>
            <w:r w:rsidRPr="00A77778">
              <w:t>information required to enable an assessment of changes.</w:t>
            </w:r>
          </w:p>
          <w:p w14:paraId="6F0F6BB5" w14:textId="41D953E5" w:rsidR="00A77778" w:rsidRDefault="00A77778" w:rsidP="00352017">
            <w:pPr>
              <w:spacing w:line="276" w:lineRule="auto"/>
            </w:pPr>
            <w:r w:rsidRPr="00A77778">
              <w:t>The group also uses the idea of “pre-consent” where participants discuss</w:t>
            </w:r>
            <w:r>
              <w:t xml:space="preserve"> </w:t>
            </w:r>
            <w:r w:rsidRPr="00A77778">
              <w:t>trials with staff before the symptoms appear while they still have capacity.</w:t>
            </w:r>
          </w:p>
          <w:p w14:paraId="5314E1C8" w14:textId="77777777" w:rsidR="00F22885" w:rsidRPr="00A77778" w:rsidRDefault="00F22885" w:rsidP="00352017">
            <w:pPr>
              <w:spacing w:line="276" w:lineRule="auto"/>
            </w:pPr>
          </w:p>
          <w:p w14:paraId="17F94231" w14:textId="2B3C516B" w:rsidR="00E66213" w:rsidRPr="006D66DC" w:rsidRDefault="00A77778" w:rsidP="00352017">
            <w:pPr>
              <w:spacing w:line="276" w:lineRule="auto"/>
            </w:pPr>
            <w:r w:rsidRPr="00A77778">
              <w:t>Because the population is generally not tech savvy, these conversations</w:t>
            </w:r>
            <w:r>
              <w:t xml:space="preserve"> </w:t>
            </w:r>
            <w:r w:rsidRPr="00A77778">
              <w:t>usually happen in person.</w:t>
            </w:r>
            <w:r w:rsidR="00377E0D">
              <w:t xml:space="preserve"> </w:t>
            </w:r>
            <w:r w:rsidRPr="00A77778">
              <w:t>To date, trials with electronic data collection have not gone well. The</w:t>
            </w:r>
            <w:r w:rsidR="00F22885">
              <w:t xml:space="preserve"> </w:t>
            </w:r>
            <w:r w:rsidRPr="00A77778">
              <w:t xml:space="preserve">participants are too unwell to focus on learning the new </w:t>
            </w:r>
            <w:proofErr w:type="gramStart"/>
            <w:r w:rsidRPr="00A77778">
              <w:t>technology, or</w:t>
            </w:r>
            <w:proofErr w:type="gramEnd"/>
            <w:r w:rsidRPr="00A77778">
              <w:t xml:space="preserve"> are</w:t>
            </w:r>
            <w:r w:rsidR="00F22885">
              <w:t xml:space="preserve"> </w:t>
            </w:r>
            <w:r w:rsidRPr="00A77778">
              <w:t xml:space="preserve">unable to attend to the technology themselves. When given a </w:t>
            </w:r>
            <w:r w:rsidRPr="00A77778">
              <w:lastRenderedPageBreak/>
              <w:t>choice,</w:t>
            </w:r>
            <w:r w:rsidR="00F22885">
              <w:t xml:space="preserve"> </w:t>
            </w:r>
            <w:r w:rsidRPr="00A77778">
              <w:t>participants have chosen a paper completed instrument over electronic.</w:t>
            </w:r>
          </w:p>
        </w:tc>
      </w:tr>
      <w:tr w:rsidR="00E66213" w:rsidRPr="004D3DA9" w14:paraId="5C16522E" w14:textId="77777777" w:rsidTr="002E61B5">
        <w:trPr>
          <w:trHeight w:val="567"/>
        </w:trPr>
        <w:tc>
          <w:tcPr>
            <w:tcW w:w="2112" w:type="dxa"/>
          </w:tcPr>
          <w:p w14:paraId="4FD7A8BE" w14:textId="4C74B422" w:rsidR="00E66213" w:rsidRDefault="003F25EF" w:rsidP="00352017">
            <w:pPr>
              <w:spacing w:line="276" w:lineRule="auto"/>
            </w:pPr>
            <w:r>
              <w:t>How was flexibility</w:t>
            </w:r>
            <w:r w:rsidR="00377E0D">
              <w:t xml:space="preserve"> </w:t>
            </w:r>
            <w:r>
              <w:t>added?</w:t>
            </w:r>
          </w:p>
        </w:tc>
        <w:tc>
          <w:tcPr>
            <w:tcW w:w="6884" w:type="dxa"/>
          </w:tcPr>
          <w:p w14:paraId="1F716402" w14:textId="452217C0" w:rsidR="00E66213" w:rsidRPr="006D66DC" w:rsidRDefault="00B02321" w:rsidP="00352017">
            <w:pPr>
              <w:spacing w:line="276" w:lineRule="auto"/>
            </w:pPr>
            <w:r w:rsidRPr="00B02321">
              <w:t>These approaches are fundamental to the research that the group does and</w:t>
            </w:r>
            <w:r>
              <w:t xml:space="preserve"> </w:t>
            </w:r>
            <w:r w:rsidRPr="00B02321">
              <w:t>are used at all sites. Protocols build in the flexibility around visits, data</w:t>
            </w:r>
            <w:r>
              <w:t xml:space="preserve"> </w:t>
            </w:r>
            <w:r w:rsidRPr="00B02321">
              <w:t xml:space="preserve">collection method and always </w:t>
            </w:r>
            <w:proofErr w:type="gramStart"/>
            <w:r w:rsidRPr="00B02321">
              <w:t>take into account</w:t>
            </w:r>
            <w:proofErr w:type="gramEnd"/>
            <w:r w:rsidRPr="00B02321">
              <w:t xml:space="preserve"> the burden of each visit.</w:t>
            </w:r>
          </w:p>
        </w:tc>
      </w:tr>
    </w:tbl>
    <w:p w14:paraId="4AEE4BB9" w14:textId="27F73633" w:rsidR="00F600D3" w:rsidRPr="00201379" w:rsidRDefault="002033D7" w:rsidP="00352017">
      <w:pPr>
        <w:pStyle w:val="Heading2"/>
        <w:spacing w:line="276" w:lineRule="auto"/>
        <w:rPr>
          <w:sz w:val="36"/>
          <w:szCs w:val="24"/>
        </w:rPr>
      </w:pPr>
      <w:r w:rsidRPr="00201379">
        <w:rPr>
          <w:sz w:val="36"/>
          <w:szCs w:val="24"/>
        </w:rPr>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C12840" w:rsidRPr="004D3DA9" w14:paraId="21924CD5" w14:textId="77777777" w:rsidTr="002E61B5">
        <w:trPr>
          <w:trHeight w:val="567"/>
        </w:trPr>
        <w:tc>
          <w:tcPr>
            <w:tcW w:w="2112" w:type="dxa"/>
            <w:shd w:val="clear" w:color="auto" w:fill="E8E8E8" w:themeFill="background2"/>
          </w:tcPr>
          <w:p w14:paraId="3EB1ED11" w14:textId="77777777" w:rsidR="00C12840" w:rsidRPr="00C20036" w:rsidRDefault="00C12840"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4AE07FC4" w14:textId="77777777" w:rsidR="00C12840" w:rsidRPr="00C20036" w:rsidRDefault="00C12840" w:rsidP="00352017">
            <w:pPr>
              <w:spacing w:after="160" w:line="276" w:lineRule="auto"/>
              <w:rPr>
                <w:b/>
                <w:bCs/>
                <w:sz w:val="32"/>
                <w:szCs w:val="32"/>
              </w:rPr>
            </w:pPr>
            <w:r>
              <w:rPr>
                <w:b/>
                <w:bCs/>
                <w:sz w:val="32"/>
                <w:szCs w:val="32"/>
              </w:rPr>
              <w:t>Description of impact</w:t>
            </w:r>
          </w:p>
        </w:tc>
      </w:tr>
      <w:tr w:rsidR="00C12840" w:rsidRPr="004D3DA9" w14:paraId="197F06A8" w14:textId="77777777" w:rsidTr="002E61B5">
        <w:trPr>
          <w:trHeight w:val="567"/>
        </w:trPr>
        <w:tc>
          <w:tcPr>
            <w:tcW w:w="2112" w:type="dxa"/>
          </w:tcPr>
          <w:p w14:paraId="049A5DED" w14:textId="77777777" w:rsidR="00C12840" w:rsidRPr="00394D3A" w:rsidRDefault="00C12840" w:rsidP="00352017">
            <w:pPr>
              <w:spacing w:after="160" w:line="276" w:lineRule="auto"/>
            </w:pPr>
            <w:r>
              <w:t>Data collection</w:t>
            </w:r>
          </w:p>
        </w:tc>
        <w:tc>
          <w:tcPr>
            <w:tcW w:w="6884" w:type="dxa"/>
          </w:tcPr>
          <w:p w14:paraId="7AE70943" w14:textId="77777777" w:rsidR="00C12840" w:rsidRDefault="00C12840" w:rsidP="00352017">
            <w:pPr>
              <w:spacing w:line="276" w:lineRule="auto"/>
            </w:pPr>
            <w:r w:rsidRPr="002A5549">
              <w:t>The focus on how visits are scheduled ensures that safety data is always</w:t>
            </w:r>
            <w:r>
              <w:t xml:space="preserve"> </w:t>
            </w:r>
            <w:r w:rsidRPr="002A5549">
              <w:t>collected, and triages other data collected.</w:t>
            </w:r>
          </w:p>
          <w:p w14:paraId="0C5B3EFD" w14:textId="77777777" w:rsidR="00C12840" w:rsidRPr="002A5549" w:rsidRDefault="00C12840" w:rsidP="00352017">
            <w:pPr>
              <w:spacing w:line="276" w:lineRule="auto"/>
            </w:pPr>
          </w:p>
          <w:p w14:paraId="238C15E7" w14:textId="77777777" w:rsidR="00C12840" w:rsidRDefault="00C12840" w:rsidP="00352017">
            <w:pPr>
              <w:spacing w:line="276" w:lineRule="auto"/>
            </w:pPr>
            <w:r w:rsidRPr="002A5549">
              <w:t>The participant population is carefully considered to avoid duplicate</w:t>
            </w:r>
            <w:r>
              <w:t xml:space="preserve"> </w:t>
            </w:r>
            <w:r w:rsidRPr="002A5549">
              <w:t>assessments.</w:t>
            </w:r>
          </w:p>
          <w:p w14:paraId="5030F5EA" w14:textId="77777777" w:rsidR="00C12840" w:rsidRPr="002A5549" w:rsidRDefault="00C12840" w:rsidP="00352017">
            <w:pPr>
              <w:spacing w:line="276" w:lineRule="auto"/>
            </w:pPr>
          </w:p>
          <w:p w14:paraId="3111F8B5" w14:textId="0156F84A" w:rsidR="00C12840" w:rsidRPr="00394D3A" w:rsidRDefault="00C12840" w:rsidP="00352017">
            <w:pPr>
              <w:spacing w:line="276" w:lineRule="auto"/>
            </w:pPr>
            <w:r w:rsidRPr="002A5549">
              <w:t>The reasons for incomplete data are systematically collected to capture</w:t>
            </w:r>
            <w:r>
              <w:t xml:space="preserve"> </w:t>
            </w:r>
            <w:r w:rsidRPr="002A5549">
              <w:t>participant fatigue or inability to respond.</w:t>
            </w:r>
          </w:p>
        </w:tc>
      </w:tr>
      <w:tr w:rsidR="00C12840" w:rsidRPr="004D3DA9" w14:paraId="5A2995F7" w14:textId="77777777" w:rsidTr="002E61B5">
        <w:trPr>
          <w:trHeight w:val="567"/>
        </w:trPr>
        <w:tc>
          <w:tcPr>
            <w:tcW w:w="2112" w:type="dxa"/>
          </w:tcPr>
          <w:p w14:paraId="392F18C6" w14:textId="77777777" w:rsidR="00C12840" w:rsidRPr="00394D3A" w:rsidRDefault="00C12840" w:rsidP="00352017">
            <w:pPr>
              <w:spacing w:after="160" w:line="276" w:lineRule="auto"/>
            </w:pPr>
            <w:r>
              <w:t>Recruitment and retention</w:t>
            </w:r>
          </w:p>
        </w:tc>
        <w:tc>
          <w:tcPr>
            <w:tcW w:w="6884" w:type="dxa"/>
          </w:tcPr>
          <w:p w14:paraId="6B9A6C8D" w14:textId="1E133E3E" w:rsidR="00C12840" w:rsidRDefault="00C12840" w:rsidP="00352017">
            <w:pPr>
              <w:spacing w:line="276" w:lineRule="auto"/>
            </w:pPr>
            <w:r w:rsidRPr="00F22885">
              <w:t>These ways of working are critical to researching this highly vulnerable</w:t>
            </w:r>
            <w:r>
              <w:t xml:space="preserve"> </w:t>
            </w:r>
            <w:proofErr w:type="gramStart"/>
            <w:r w:rsidRPr="00F22885">
              <w:t>population, and</w:t>
            </w:r>
            <w:proofErr w:type="gramEnd"/>
            <w:r w:rsidRPr="00F22885">
              <w:t xml:space="preserve"> greatly increase their recruitment and retention into clinical</w:t>
            </w:r>
            <w:r>
              <w:t xml:space="preserve"> </w:t>
            </w:r>
            <w:r w:rsidRPr="00F22885">
              <w:t>research. Without these methods, it would be difficult to test new clinical</w:t>
            </w:r>
            <w:r w:rsidR="00377E0D">
              <w:t xml:space="preserve"> </w:t>
            </w:r>
            <w:r w:rsidRPr="00F22885">
              <w:t>practices in this population.</w:t>
            </w:r>
          </w:p>
          <w:p w14:paraId="1E433D5C" w14:textId="77777777" w:rsidR="00C12840" w:rsidRPr="00F22885" w:rsidRDefault="00C12840" w:rsidP="00352017">
            <w:pPr>
              <w:spacing w:line="276" w:lineRule="auto"/>
            </w:pPr>
          </w:p>
          <w:p w14:paraId="160289D7" w14:textId="140EC44F" w:rsidR="00C12840" w:rsidRDefault="00C12840" w:rsidP="00352017">
            <w:pPr>
              <w:spacing w:line="276" w:lineRule="auto"/>
            </w:pPr>
            <w:r w:rsidRPr="00F22885">
              <w:t>Recruitment strategies are always pre-planned and customised for each site</w:t>
            </w:r>
            <w:r>
              <w:t xml:space="preserve"> </w:t>
            </w:r>
            <w:proofErr w:type="gramStart"/>
            <w:r w:rsidRPr="00F22885">
              <w:t>in order to</w:t>
            </w:r>
            <w:proofErr w:type="gramEnd"/>
            <w:r w:rsidRPr="00F22885">
              <w:t xml:space="preserve"> maximise the potential recruitment and are reviewed frequently.</w:t>
            </w:r>
            <w:r w:rsidR="00377E0D">
              <w:t xml:space="preserve"> </w:t>
            </w:r>
            <w:r w:rsidRPr="00F22885">
              <w:t>Despite this, recruitment is low, with high dropout rates between referral to</w:t>
            </w:r>
            <w:r>
              <w:t xml:space="preserve"> </w:t>
            </w:r>
            <w:r w:rsidRPr="00F22885">
              <w:t>the study, screening and baseline.</w:t>
            </w:r>
            <w:r w:rsidR="00377E0D">
              <w:t xml:space="preserve"> </w:t>
            </w:r>
            <w:r w:rsidRPr="00F22885">
              <w:t>Systematic data is collected regarding referral patterns and reasons why</w:t>
            </w:r>
            <w:r>
              <w:t xml:space="preserve"> </w:t>
            </w:r>
            <w:r w:rsidRPr="00F22885">
              <w:t xml:space="preserve">screening does not progress </w:t>
            </w:r>
            <w:proofErr w:type="gramStart"/>
            <w:r w:rsidRPr="00F22885">
              <w:t>in order to</w:t>
            </w:r>
            <w:proofErr w:type="gramEnd"/>
            <w:r w:rsidRPr="00F22885">
              <w:t xml:space="preserve"> monitor the recruitment strategies</w:t>
            </w:r>
            <w:r>
              <w:t xml:space="preserve"> </w:t>
            </w:r>
            <w:r w:rsidRPr="00F22885">
              <w:t>and consider any protocol issues.</w:t>
            </w:r>
          </w:p>
          <w:p w14:paraId="7A6EADF5" w14:textId="77777777" w:rsidR="00C12840" w:rsidRPr="00F22885" w:rsidRDefault="00C12840" w:rsidP="00352017">
            <w:pPr>
              <w:spacing w:line="276" w:lineRule="auto"/>
            </w:pPr>
          </w:p>
          <w:p w14:paraId="5ED6312E" w14:textId="03147A55" w:rsidR="00C12840" w:rsidRPr="00394D3A" w:rsidRDefault="00C12840" w:rsidP="00352017">
            <w:pPr>
              <w:spacing w:line="276" w:lineRule="auto"/>
            </w:pPr>
            <w:r w:rsidRPr="00F22885">
              <w:t>Retention rates are good, indicating that the protocol design suits the</w:t>
            </w:r>
            <w:r>
              <w:t xml:space="preserve"> </w:t>
            </w:r>
            <w:r w:rsidRPr="00F22885">
              <w:t>intended population.</w:t>
            </w:r>
          </w:p>
        </w:tc>
      </w:tr>
      <w:tr w:rsidR="00C12840" w:rsidRPr="004D3DA9" w14:paraId="79A9A989" w14:textId="77777777" w:rsidTr="002E61B5">
        <w:trPr>
          <w:trHeight w:val="567"/>
        </w:trPr>
        <w:tc>
          <w:tcPr>
            <w:tcW w:w="2112" w:type="dxa"/>
          </w:tcPr>
          <w:p w14:paraId="086AFFEC" w14:textId="77777777" w:rsidR="00C12840" w:rsidRDefault="00C12840" w:rsidP="00352017">
            <w:pPr>
              <w:spacing w:line="276" w:lineRule="auto"/>
            </w:pPr>
            <w:r>
              <w:t>Review process</w:t>
            </w:r>
          </w:p>
        </w:tc>
        <w:tc>
          <w:tcPr>
            <w:tcW w:w="6884" w:type="dxa"/>
          </w:tcPr>
          <w:p w14:paraId="316E6BE9" w14:textId="77777777" w:rsidR="00C12840" w:rsidRDefault="00C12840" w:rsidP="00352017">
            <w:pPr>
              <w:spacing w:line="276" w:lineRule="auto"/>
            </w:pPr>
            <w:r w:rsidRPr="00841774">
              <w:t>Most sites are embedded in the palliative care services, where the PI is</w:t>
            </w:r>
            <w:r>
              <w:t xml:space="preserve"> </w:t>
            </w:r>
            <w:r w:rsidRPr="00841774">
              <w:t>already providing care to the participant.</w:t>
            </w:r>
          </w:p>
          <w:p w14:paraId="742E9924" w14:textId="77777777" w:rsidR="00C12840" w:rsidRPr="00841774" w:rsidRDefault="00C12840" w:rsidP="00352017">
            <w:pPr>
              <w:spacing w:line="276" w:lineRule="auto"/>
            </w:pPr>
          </w:p>
          <w:p w14:paraId="3AB5EF91" w14:textId="77777777" w:rsidR="00C12840" w:rsidRPr="00841774" w:rsidRDefault="00C12840" w:rsidP="00352017">
            <w:pPr>
              <w:spacing w:line="276" w:lineRule="auto"/>
            </w:pPr>
            <w:r w:rsidRPr="00841774">
              <w:t>To date there have been no issues with respect to HREC or RGO review, over</w:t>
            </w:r>
            <w:r>
              <w:t xml:space="preserve"> </w:t>
            </w:r>
            <w:r w:rsidRPr="00841774">
              <w:t xml:space="preserve">and above the issues that relate to all trials. HREC </w:t>
            </w:r>
            <w:r w:rsidRPr="00841774">
              <w:lastRenderedPageBreak/>
              <w:t>and RGO have allowed</w:t>
            </w:r>
            <w:r>
              <w:t xml:space="preserve"> </w:t>
            </w:r>
            <w:r w:rsidRPr="00841774">
              <w:t>flexibility in design to maximise recruitment and retention, including</w:t>
            </w:r>
          </w:p>
          <w:p w14:paraId="0BE8B663" w14:textId="70B46052" w:rsidR="00C12840" w:rsidRPr="006D66DC" w:rsidRDefault="00C12840" w:rsidP="00352017">
            <w:pPr>
              <w:spacing w:line="276" w:lineRule="auto"/>
            </w:pPr>
            <w:r w:rsidRPr="00841774">
              <w:t>telephone data collection. Reasonable questions regarding burden have</w:t>
            </w:r>
            <w:r>
              <w:t xml:space="preserve"> </w:t>
            </w:r>
            <w:r w:rsidRPr="00841774">
              <w:t>been considered as part of the review process.</w:t>
            </w:r>
          </w:p>
        </w:tc>
      </w:tr>
      <w:tr w:rsidR="00C12840" w:rsidRPr="004D3DA9" w14:paraId="6BCF4E4C" w14:textId="77777777" w:rsidTr="002E61B5">
        <w:trPr>
          <w:trHeight w:val="567"/>
        </w:trPr>
        <w:tc>
          <w:tcPr>
            <w:tcW w:w="2112" w:type="dxa"/>
          </w:tcPr>
          <w:p w14:paraId="7CD9E819" w14:textId="77777777" w:rsidR="00C12840" w:rsidRDefault="00C12840" w:rsidP="00352017">
            <w:pPr>
              <w:spacing w:line="276" w:lineRule="auto"/>
            </w:pPr>
            <w:r>
              <w:lastRenderedPageBreak/>
              <w:t>Contracts</w:t>
            </w:r>
          </w:p>
        </w:tc>
        <w:tc>
          <w:tcPr>
            <w:tcW w:w="6884" w:type="dxa"/>
          </w:tcPr>
          <w:p w14:paraId="0C78B164" w14:textId="77777777" w:rsidR="00C12840" w:rsidRDefault="00C12840" w:rsidP="00352017">
            <w:pPr>
              <w:spacing w:line="276" w:lineRule="auto"/>
            </w:pPr>
            <w:r w:rsidRPr="00841774">
              <w:t>The trials from this collaborative group use the standard Medicines Australia</w:t>
            </w:r>
            <w:r>
              <w:t xml:space="preserve"> </w:t>
            </w:r>
            <w:r w:rsidRPr="00841774">
              <w:t>Clinical Trial Research Agreement for collaborative Trials without difficulty.</w:t>
            </w:r>
          </w:p>
          <w:p w14:paraId="0D39F16B" w14:textId="77777777" w:rsidR="00C12840" w:rsidRPr="00841774" w:rsidRDefault="00C12840" w:rsidP="00352017">
            <w:pPr>
              <w:spacing w:line="276" w:lineRule="auto"/>
            </w:pPr>
          </w:p>
          <w:p w14:paraId="4EAA06AF" w14:textId="0735368C" w:rsidR="00C12840" w:rsidRPr="006D66DC" w:rsidRDefault="00C12840" w:rsidP="00352017">
            <w:pPr>
              <w:spacing w:line="276" w:lineRule="auto"/>
            </w:pPr>
            <w:r w:rsidRPr="00841774">
              <w:t>Service agreements are put in place for 3rd parties such as external</w:t>
            </w:r>
            <w:r>
              <w:t xml:space="preserve"> </w:t>
            </w:r>
            <w:r w:rsidRPr="00841774">
              <w:t>pharmacy providers for Direct to Patient IMP management. UTS owns a</w:t>
            </w:r>
            <w:r>
              <w:t xml:space="preserve"> </w:t>
            </w:r>
            <w:r w:rsidRPr="00841774">
              <w:t xml:space="preserve">licence for </w:t>
            </w:r>
            <w:proofErr w:type="spellStart"/>
            <w:r w:rsidRPr="00841774">
              <w:t>REDCap</w:t>
            </w:r>
            <w:proofErr w:type="spellEnd"/>
            <w:r w:rsidRPr="00841774">
              <w:t xml:space="preserve"> for data entry, which is developed and managed</w:t>
            </w:r>
            <w:r w:rsidR="00377E0D">
              <w:t xml:space="preserve"> </w:t>
            </w:r>
            <w:r w:rsidRPr="00841774">
              <w:t>centrally.</w:t>
            </w:r>
          </w:p>
        </w:tc>
      </w:tr>
      <w:tr w:rsidR="00C12840" w:rsidRPr="004D3DA9" w14:paraId="75FDF549" w14:textId="77777777" w:rsidTr="002E61B5">
        <w:trPr>
          <w:trHeight w:val="567"/>
        </w:trPr>
        <w:tc>
          <w:tcPr>
            <w:tcW w:w="2112" w:type="dxa"/>
          </w:tcPr>
          <w:p w14:paraId="0AFBBAF0" w14:textId="77777777" w:rsidR="00C12840" w:rsidRDefault="00C12840" w:rsidP="00352017">
            <w:pPr>
              <w:spacing w:line="276" w:lineRule="auto"/>
            </w:pPr>
            <w:r>
              <w:t>Finances</w:t>
            </w:r>
          </w:p>
        </w:tc>
        <w:tc>
          <w:tcPr>
            <w:tcW w:w="6884" w:type="dxa"/>
          </w:tcPr>
          <w:p w14:paraId="763F5071" w14:textId="26C14360" w:rsidR="00C12840" w:rsidRPr="006D66DC" w:rsidRDefault="00C12840" w:rsidP="00352017">
            <w:pPr>
              <w:spacing w:line="276" w:lineRule="auto"/>
            </w:pPr>
            <w:r w:rsidRPr="005F145E">
              <w:t>Use of a central external pharmacy significantly reduces the cost of multiple</w:t>
            </w:r>
            <w:r>
              <w:t xml:space="preserve"> </w:t>
            </w:r>
            <w:r w:rsidRPr="005F145E">
              <w:t xml:space="preserve">clinical trial </w:t>
            </w:r>
            <w:proofErr w:type="gramStart"/>
            <w:r w:rsidRPr="005F145E">
              <w:t>pharmacies,</w:t>
            </w:r>
            <w:proofErr w:type="gramEnd"/>
            <w:r w:rsidRPr="005F145E">
              <w:t xml:space="preserve"> there is one single fee structure in place. The IMP is</w:t>
            </w:r>
            <w:r w:rsidR="00377E0D">
              <w:t xml:space="preserve"> </w:t>
            </w:r>
            <w:r w:rsidRPr="005F145E">
              <w:t>couriered to site/patient/PI as required, the cost of which is covered by the</w:t>
            </w:r>
            <w:r>
              <w:t xml:space="preserve"> </w:t>
            </w:r>
            <w:r w:rsidRPr="005F145E">
              <w:t>funding, and remains less then multiple pharmacies, a full costing will be</w:t>
            </w:r>
            <w:r>
              <w:t xml:space="preserve"> </w:t>
            </w:r>
            <w:r w:rsidRPr="005F145E">
              <w:t>underway shortly.</w:t>
            </w:r>
          </w:p>
        </w:tc>
      </w:tr>
    </w:tbl>
    <w:p w14:paraId="5CEC0ED3" w14:textId="66EE65F4" w:rsidR="005F145E" w:rsidRPr="00201379" w:rsidRDefault="005F145E" w:rsidP="00352017">
      <w:pPr>
        <w:pStyle w:val="Heading2"/>
        <w:spacing w:line="276" w:lineRule="auto"/>
        <w:rPr>
          <w:sz w:val="36"/>
          <w:szCs w:val="24"/>
        </w:rPr>
      </w:pPr>
      <w:r w:rsidRPr="00201379">
        <w:rPr>
          <w:sz w:val="36"/>
          <w:szCs w:val="24"/>
        </w:rPr>
        <w:t>Overall thoughts</w:t>
      </w:r>
    </w:p>
    <w:p w14:paraId="47CDABB4" w14:textId="6F7CB470" w:rsidR="00B03533" w:rsidRPr="005958D2" w:rsidRDefault="00B03533" w:rsidP="00352017">
      <w:pPr>
        <w:spacing w:line="276" w:lineRule="auto"/>
        <w:rPr>
          <w:b/>
          <w:bCs/>
        </w:rPr>
      </w:pPr>
      <w:r w:rsidRPr="005958D2">
        <w:rPr>
          <w:b/>
          <w:bCs/>
        </w:rPr>
        <w:t>Key strengths:</w:t>
      </w:r>
    </w:p>
    <w:p w14:paraId="07807161" w14:textId="70A89F7F" w:rsidR="00B03533" w:rsidRPr="00B03533" w:rsidRDefault="00B03533" w:rsidP="00352017">
      <w:pPr>
        <w:spacing w:line="276" w:lineRule="auto"/>
      </w:pPr>
      <w:r w:rsidRPr="00B03533">
        <w:t>Early consumer input maximises the potential to design trials where the participant population is</w:t>
      </w:r>
      <w:r>
        <w:t xml:space="preserve"> </w:t>
      </w:r>
      <w:r w:rsidRPr="00B03533">
        <w:t>considered and trial design is pared back to reflect the population (instead of the perfect patient)</w:t>
      </w:r>
      <w:r>
        <w:t xml:space="preserve">, </w:t>
      </w:r>
      <w:r w:rsidRPr="00B03533">
        <w:t>and the capacity of the participant population to complete the required assessments. Flexibility in</w:t>
      </w:r>
      <w:r>
        <w:t xml:space="preserve"> </w:t>
      </w:r>
      <w:r w:rsidRPr="00B03533">
        <w:t>visit schedules, data collection and even inclusion/exclusion criteria enable recruitment to trials in an</w:t>
      </w:r>
      <w:r>
        <w:t xml:space="preserve"> </w:t>
      </w:r>
      <w:r w:rsidRPr="00B03533">
        <w:t>otherwise very challenging space.</w:t>
      </w:r>
    </w:p>
    <w:p w14:paraId="658A5A6C" w14:textId="1E231284" w:rsidR="00B03533" w:rsidRPr="005958D2" w:rsidRDefault="00B03533" w:rsidP="00352017">
      <w:pPr>
        <w:spacing w:line="276" w:lineRule="auto"/>
        <w:rPr>
          <w:b/>
          <w:bCs/>
        </w:rPr>
      </w:pPr>
      <w:r w:rsidRPr="005958D2">
        <w:rPr>
          <w:b/>
          <w:bCs/>
        </w:rPr>
        <w:t>Differently next time:</w:t>
      </w:r>
    </w:p>
    <w:p w14:paraId="49B3C62D" w14:textId="54739488" w:rsidR="00B03533" w:rsidRPr="00B03533" w:rsidRDefault="00B03533" w:rsidP="00352017">
      <w:pPr>
        <w:spacing w:line="276" w:lineRule="auto"/>
      </w:pPr>
      <w:r w:rsidRPr="00B03533">
        <w:t>The trials are constantly evolving as regulations, technology and expectations change. Electronic</w:t>
      </w:r>
      <w:r>
        <w:t xml:space="preserve"> </w:t>
      </w:r>
      <w:r w:rsidRPr="00B03533">
        <w:t>technology capture is very challenging and is approached with caution.</w:t>
      </w:r>
    </w:p>
    <w:p w14:paraId="10C68165" w14:textId="428A2619" w:rsidR="00B03533" w:rsidRPr="005958D2" w:rsidRDefault="00B03533" w:rsidP="00352017">
      <w:pPr>
        <w:spacing w:line="276" w:lineRule="auto"/>
        <w:rPr>
          <w:b/>
          <w:bCs/>
        </w:rPr>
      </w:pPr>
      <w:r w:rsidRPr="005958D2">
        <w:rPr>
          <w:b/>
          <w:bCs/>
        </w:rPr>
        <w:t>Advice to others:</w:t>
      </w:r>
    </w:p>
    <w:p w14:paraId="495F4D8F" w14:textId="0D4D748B" w:rsidR="00B03533" w:rsidRPr="00B03533" w:rsidRDefault="00B03533" w:rsidP="00352017">
      <w:pPr>
        <w:spacing w:line="276" w:lineRule="auto"/>
      </w:pPr>
      <w:r w:rsidRPr="00B03533">
        <w:t>Trials can have flexibility built in with careful consideration. Inclusion of consumers is critical, also</w:t>
      </w:r>
      <w:r>
        <w:t xml:space="preserve"> </w:t>
      </w:r>
      <w:r w:rsidRPr="00B03533">
        <w:t>consider inclusion of those who collect the data or assess the participants to ensure that the future</w:t>
      </w:r>
      <w:r>
        <w:t xml:space="preserve"> </w:t>
      </w:r>
      <w:r w:rsidRPr="00B03533">
        <w:t>participant burden, capacity and abilities are considered up front.</w:t>
      </w:r>
    </w:p>
    <w:p w14:paraId="0AE096E9" w14:textId="4D10C558" w:rsidR="005958D2" w:rsidRDefault="00B03533" w:rsidP="00352017">
      <w:pPr>
        <w:spacing w:line="276" w:lineRule="auto"/>
      </w:pPr>
      <w:r w:rsidRPr="00B03533">
        <w:t>Patients want to contribute, even at the very end of life, the trials need to respect this and enable</w:t>
      </w:r>
      <w:r w:rsidR="005958D2">
        <w:t xml:space="preserve"> </w:t>
      </w:r>
      <w:r w:rsidRPr="00B03533">
        <w:t xml:space="preserve">participation </w:t>
      </w:r>
      <w:proofErr w:type="gramStart"/>
      <w:r w:rsidRPr="00B03533">
        <w:t>in order to</w:t>
      </w:r>
      <w:proofErr w:type="gramEnd"/>
      <w:r w:rsidRPr="00B03533">
        <w:t xml:space="preserve"> expand the evidence base for clinical care.</w:t>
      </w:r>
      <w:r w:rsidR="005958D2">
        <w:br w:type="page"/>
      </w:r>
    </w:p>
    <w:p w14:paraId="21E9EB2F" w14:textId="43B5AA53" w:rsidR="005F145E" w:rsidRDefault="005958D2" w:rsidP="00352017">
      <w:pPr>
        <w:pStyle w:val="Heading1"/>
        <w:spacing w:line="276" w:lineRule="auto"/>
      </w:pPr>
      <w:bookmarkStart w:id="2" w:name="_Toc230005678"/>
      <w:r>
        <w:lastRenderedPageBreak/>
        <w:t>Case Study 2: IMP access at sites without clinical trial pharmacists</w:t>
      </w:r>
      <w:bookmarkEnd w:id="2"/>
    </w:p>
    <w:p w14:paraId="72842B8E" w14:textId="4F6E4C19" w:rsidR="005958D2" w:rsidRDefault="005958D2" w:rsidP="00352017">
      <w:pPr>
        <w:spacing w:line="276" w:lineRule="auto"/>
      </w:pPr>
      <w:r>
        <w:t xml:space="preserve">Case study provided by: </w:t>
      </w:r>
      <w:r w:rsidR="0006370D">
        <w:t>NT Health</w:t>
      </w:r>
    </w:p>
    <w:p w14:paraId="5387D40E" w14:textId="5363C9B9" w:rsidR="005958D2" w:rsidRPr="004C40AE" w:rsidRDefault="005958D2" w:rsidP="00352017">
      <w:pPr>
        <w:spacing w:line="276" w:lineRule="auto"/>
      </w:pPr>
      <w:r>
        <w:t xml:space="preserve">For more information contact: </w:t>
      </w:r>
      <w:r w:rsidR="0006370D">
        <w:t>Emilie Meier or Teana Brewster-O’Brien</w:t>
      </w:r>
    </w:p>
    <w:p w14:paraId="1CDF0577" w14:textId="77777777" w:rsidR="005958D2" w:rsidRPr="00201379" w:rsidRDefault="005958D2" w:rsidP="00352017">
      <w:pPr>
        <w:pStyle w:val="Heading2"/>
        <w:spacing w:line="276" w:lineRule="auto"/>
        <w:rPr>
          <w:sz w:val="36"/>
          <w:szCs w:val="24"/>
        </w:rPr>
      </w:pPr>
      <w:r w:rsidRPr="00201379">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5958D2" w:rsidRPr="004D3DA9" w14:paraId="389CFD91" w14:textId="77777777" w:rsidTr="002E61B5">
        <w:trPr>
          <w:trHeight w:val="567"/>
        </w:trPr>
        <w:tc>
          <w:tcPr>
            <w:tcW w:w="2112" w:type="dxa"/>
            <w:shd w:val="clear" w:color="auto" w:fill="E8E8E8" w:themeFill="background2"/>
          </w:tcPr>
          <w:p w14:paraId="32E15AAE" w14:textId="77777777" w:rsidR="005958D2" w:rsidRPr="00C20036" w:rsidRDefault="005958D2"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0A60A4C0" w14:textId="363269BE" w:rsidR="005958D2" w:rsidRPr="00C20036" w:rsidRDefault="005958D2" w:rsidP="00352017">
            <w:pPr>
              <w:spacing w:after="160" w:line="276" w:lineRule="auto"/>
              <w:rPr>
                <w:b/>
                <w:bCs/>
                <w:sz w:val="32"/>
                <w:szCs w:val="32"/>
              </w:rPr>
            </w:pPr>
            <w:r>
              <w:rPr>
                <w:b/>
                <w:bCs/>
                <w:sz w:val="32"/>
                <w:szCs w:val="32"/>
              </w:rPr>
              <w:t>Description of context</w:t>
            </w:r>
          </w:p>
        </w:tc>
      </w:tr>
      <w:tr w:rsidR="005958D2" w:rsidRPr="004D3DA9" w14:paraId="1114535C" w14:textId="77777777" w:rsidTr="002E61B5">
        <w:trPr>
          <w:trHeight w:val="567"/>
        </w:trPr>
        <w:tc>
          <w:tcPr>
            <w:tcW w:w="2112" w:type="dxa"/>
          </w:tcPr>
          <w:p w14:paraId="79B876C5" w14:textId="77777777" w:rsidR="005958D2" w:rsidRPr="00394D3A" w:rsidRDefault="005958D2" w:rsidP="00352017">
            <w:pPr>
              <w:spacing w:after="160" w:line="276" w:lineRule="auto"/>
            </w:pPr>
            <w:r>
              <w:t>Description of trial aim</w:t>
            </w:r>
          </w:p>
        </w:tc>
        <w:tc>
          <w:tcPr>
            <w:tcW w:w="6884" w:type="dxa"/>
          </w:tcPr>
          <w:p w14:paraId="34B14E44" w14:textId="2FC8A81A" w:rsidR="005958D2" w:rsidRPr="00394D3A" w:rsidRDefault="008D784B" w:rsidP="00352017">
            <w:pPr>
              <w:spacing w:line="276" w:lineRule="auto"/>
            </w:pPr>
            <w:r w:rsidRPr="008D784B">
              <w:t>To measure how well a new hormone therapy works compared to standard</w:t>
            </w:r>
            <w:r>
              <w:t xml:space="preserve"> </w:t>
            </w:r>
            <w:r w:rsidRPr="008D784B">
              <w:t>hormone therapy (tamoxifen, anastrozole, letrozole, or exemestane) in</w:t>
            </w:r>
            <w:r>
              <w:t xml:space="preserve"> </w:t>
            </w:r>
            <w:r w:rsidRPr="008D784B">
              <w:t>people 18+ with early breast cancer that is ER+ and HER2-.</w:t>
            </w:r>
          </w:p>
        </w:tc>
      </w:tr>
      <w:tr w:rsidR="005958D2" w:rsidRPr="004D3DA9" w14:paraId="71E083A3" w14:textId="77777777" w:rsidTr="002E61B5">
        <w:trPr>
          <w:trHeight w:val="567"/>
        </w:trPr>
        <w:tc>
          <w:tcPr>
            <w:tcW w:w="2112" w:type="dxa"/>
          </w:tcPr>
          <w:p w14:paraId="53CE9CEE" w14:textId="77777777" w:rsidR="005958D2" w:rsidRPr="00394D3A" w:rsidRDefault="005958D2" w:rsidP="00352017">
            <w:pPr>
              <w:spacing w:after="160" w:line="276" w:lineRule="auto"/>
            </w:pPr>
            <w:r>
              <w:t>Trial size and location(s)</w:t>
            </w:r>
          </w:p>
        </w:tc>
        <w:tc>
          <w:tcPr>
            <w:tcW w:w="6884" w:type="dxa"/>
          </w:tcPr>
          <w:p w14:paraId="3C5BF437" w14:textId="7852F85F" w:rsidR="008D784B" w:rsidRDefault="008D784B" w:rsidP="00352017">
            <w:pPr>
              <w:spacing w:line="276" w:lineRule="auto"/>
            </w:pPr>
            <w:r w:rsidRPr="008D784B">
              <w:t>Recruitment target: 6000 globally, across 31 countries. Locally, four per year</w:t>
            </w:r>
            <w:r>
              <w:t xml:space="preserve"> </w:t>
            </w:r>
            <w:r w:rsidRPr="008D784B">
              <w:t>over recruitment period. Initially recruiting at tertiary hospital in MM2</w:t>
            </w:r>
            <w:r>
              <w:t xml:space="preserve"> </w:t>
            </w:r>
            <w:r w:rsidRPr="008D784B">
              <w:t xml:space="preserve">(regional centre) location, with intention to extend recruitment to a </w:t>
            </w:r>
            <w:proofErr w:type="spellStart"/>
            <w:r w:rsidRPr="008D784B">
              <w:t>Teletrial</w:t>
            </w:r>
            <w:proofErr w:type="spellEnd"/>
            <w:r>
              <w:t xml:space="preserve"> </w:t>
            </w:r>
            <w:r w:rsidRPr="008D784B">
              <w:t>site at a secondary hospital in MM6 (remote community) location.</w:t>
            </w:r>
          </w:p>
          <w:p w14:paraId="3D29D095" w14:textId="77777777" w:rsidR="008D784B" w:rsidRPr="008D784B" w:rsidRDefault="008D784B" w:rsidP="00352017">
            <w:pPr>
              <w:spacing w:line="276" w:lineRule="auto"/>
            </w:pPr>
          </w:p>
          <w:p w14:paraId="78806CF2" w14:textId="2EB4BAC6" w:rsidR="005958D2" w:rsidRPr="00394D3A" w:rsidRDefault="008D784B" w:rsidP="00352017">
            <w:pPr>
              <w:spacing w:line="276" w:lineRule="auto"/>
            </w:pPr>
            <w:r w:rsidRPr="008D784B">
              <w:t>Recruitment closed before the MM6 site recruited any participants.</w:t>
            </w:r>
          </w:p>
        </w:tc>
      </w:tr>
      <w:tr w:rsidR="005958D2" w:rsidRPr="004D3DA9" w14:paraId="3C1E2BE9" w14:textId="77777777" w:rsidTr="002E61B5">
        <w:trPr>
          <w:trHeight w:val="567"/>
        </w:trPr>
        <w:tc>
          <w:tcPr>
            <w:tcW w:w="2112" w:type="dxa"/>
          </w:tcPr>
          <w:p w14:paraId="4D270192" w14:textId="77777777" w:rsidR="005958D2" w:rsidRDefault="005958D2" w:rsidP="00352017">
            <w:pPr>
              <w:spacing w:line="276" w:lineRule="auto"/>
            </w:pPr>
            <w:r>
              <w:t>Sponsor</w:t>
            </w:r>
          </w:p>
        </w:tc>
        <w:tc>
          <w:tcPr>
            <w:tcW w:w="6884" w:type="dxa"/>
          </w:tcPr>
          <w:p w14:paraId="6C741388" w14:textId="7C067244" w:rsidR="005958D2" w:rsidRPr="006D66DC" w:rsidRDefault="002A5F93" w:rsidP="00352017">
            <w:pPr>
              <w:spacing w:line="276" w:lineRule="auto"/>
            </w:pPr>
            <w:r w:rsidRPr="002A5F93">
              <w:t>Large international industry Sponsor.</w:t>
            </w:r>
          </w:p>
        </w:tc>
      </w:tr>
      <w:tr w:rsidR="005958D2" w:rsidRPr="004D3DA9" w14:paraId="7B27E378" w14:textId="77777777" w:rsidTr="002E61B5">
        <w:trPr>
          <w:trHeight w:val="567"/>
        </w:trPr>
        <w:tc>
          <w:tcPr>
            <w:tcW w:w="2112" w:type="dxa"/>
          </w:tcPr>
          <w:p w14:paraId="6C876BE0" w14:textId="77777777" w:rsidR="005958D2" w:rsidRDefault="005958D2" w:rsidP="00352017">
            <w:pPr>
              <w:spacing w:line="276" w:lineRule="auto"/>
            </w:pPr>
            <w:r>
              <w:t>Why were flexible</w:t>
            </w:r>
          </w:p>
          <w:p w14:paraId="22424F3D" w14:textId="77777777" w:rsidR="005958D2" w:rsidRDefault="005958D2" w:rsidP="00352017">
            <w:pPr>
              <w:spacing w:line="276" w:lineRule="auto"/>
            </w:pPr>
            <w:r>
              <w:t>trial elements used?</w:t>
            </w:r>
          </w:p>
        </w:tc>
        <w:tc>
          <w:tcPr>
            <w:tcW w:w="6884" w:type="dxa"/>
          </w:tcPr>
          <w:p w14:paraId="64E68923" w14:textId="09DB4237" w:rsidR="005958D2" w:rsidRPr="006D66DC" w:rsidRDefault="002A5F93" w:rsidP="00352017">
            <w:pPr>
              <w:spacing w:line="276" w:lineRule="auto"/>
            </w:pPr>
            <w:r w:rsidRPr="002A5F93">
              <w:t>This way of working was established to facilitate clinical trial medication</w:t>
            </w:r>
            <w:r>
              <w:t xml:space="preserve"> </w:t>
            </w:r>
            <w:r w:rsidRPr="002A5F93">
              <w:t>access for patients in the MM6 location, as the Investigational Medicinal</w:t>
            </w:r>
            <w:r>
              <w:t xml:space="preserve"> </w:t>
            </w:r>
            <w:r w:rsidRPr="002A5F93">
              <w:t>Product (IMP) required 24-hour temperature monitoring (storage 15-25C)</w:t>
            </w:r>
            <w:r w:rsidR="00377E0D">
              <w:t xml:space="preserve"> </w:t>
            </w:r>
            <w:r w:rsidRPr="002A5F93">
              <w:t>until received by the patient. It was not possible for the Sponsor to supply</w:t>
            </w:r>
            <w:r>
              <w:t xml:space="preserve"> </w:t>
            </w:r>
            <w:r w:rsidRPr="002A5F93">
              <w:t>directly to the site, due to lack of local staff and suitable storage facilities.</w:t>
            </w:r>
          </w:p>
        </w:tc>
      </w:tr>
      <w:tr w:rsidR="005958D2" w:rsidRPr="004D3DA9" w14:paraId="1AD61872" w14:textId="77777777" w:rsidTr="002E61B5">
        <w:trPr>
          <w:trHeight w:val="567"/>
        </w:trPr>
        <w:tc>
          <w:tcPr>
            <w:tcW w:w="2112" w:type="dxa"/>
          </w:tcPr>
          <w:p w14:paraId="444E780B" w14:textId="77777777" w:rsidR="005958D2" w:rsidRDefault="005958D2" w:rsidP="00352017">
            <w:pPr>
              <w:spacing w:line="276" w:lineRule="auto"/>
            </w:pPr>
            <w:r>
              <w:t>What flexible</w:t>
            </w:r>
          </w:p>
          <w:p w14:paraId="116004CE" w14:textId="77777777" w:rsidR="005958D2" w:rsidRDefault="005958D2" w:rsidP="00352017">
            <w:pPr>
              <w:spacing w:line="276" w:lineRule="auto"/>
            </w:pPr>
            <w:r>
              <w:t>elements were used?</w:t>
            </w:r>
          </w:p>
        </w:tc>
        <w:tc>
          <w:tcPr>
            <w:tcW w:w="6884" w:type="dxa"/>
          </w:tcPr>
          <w:p w14:paraId="7DF77F28" w14:textId="7B1F5876" w:rsidR="005958D2" w:rsidRPr="006D66DC" w:rsidRDefault="006C61D2" w:rsidP="00352017">
            <w:pPr>
              <w:spacing w:line="276" w:lineRule="auto"/>
            </w:pPr>
            <w:r w:rsidRPr="006C61D2">
              <w:t>Established an agreement with the Sponsor that the IMP would be dispensed</w:t>
            </w:r>
            <w:r>
              <w:t xml:space="preserve"> </w:t>
            </w:r>
            <w:r w:rsidRPr="006C61D2">
              <w:t>at the MM2 site, then shipped to the MM6 location via courier. A MM2 site</w:t>
            </w:r>
            <w:r>
              <w:t xml:space="preserve"> </w:t>
            </w:r>
            <w:r w:rsidRPr="006C61D2">
              <w:t>pharmacist would then undertake IMP activities utilising a mobile pharmacist</w:t>
            </w:r>
            <w:r>
              <w:t xml:space="preserve"> </w:t>
            </w:r>
            <w:r w:rsidRPr="006C61D2">
              <w:t>model. Alternatively, a delegated Clinical Trial Co-ordinator (CTC) at the site</w:t>
            </w:r>
            <w:r>
              <w:t xml:space="preserve"> </w:t>
            </w:r>
            <w:r w:rsidRPr="006C61D2">
              <w:t>could undertake activities, pending availability and capacity.</w:t>
            </w:r>
          </w:p>
        </w:tc>
      </w:tr>
      <w:tr w:rsidR="005958D2" w:rsidRPr="004D3DA9" w14:paraId="339C7BB5" w14:textId="77777777" w:rsidTr="002E61B5">
        <w:trPr>
          <w:trHeight w:val="567"/>
        </w:trPr>
        <w:tc>
          <w:tcPr>
            <w:tcW w:w="2112" w:type="dxa"/>
          </w:tcPr>
          <w:p w14:paraId="22748B15" w14:textId="77777777" w:rsidR="005958D2" w:rsidRDefault="005958D2" w:rsidP="00352017">
            <w:pPr>
              <w:spacing w:line="276" w:lineRule="auto"/>
            </w:pPr>
            <w:r>
              <w:t>How was flexibility</w:t>
            </w:r>
          </w:p>
          <w:p w14:paraId="6C086AE9" w14:textId="77777777" w:rsidR="005958D2" w:rsidRDefault="005958D2" w:rsidP="00352017">
            <w:pPr>
              <w:spacing w:line="276" w:lineRule="auto"/>
            </w:pPr>
            <w:r>
              <w:lastRenderedPageBreak/>
              <w:t>added?</w:t>
            </w:r>
          </w:p>
        </w:tc>
        <w:tc>
          <w:tcPr>
            <w:tcW w:w="6884" w:type="dxa"/>
          </w:tcPr>
          <w:p w14:paraId="19FA5506" w14:textId="3C57F6FC" w:rsidR="005958D2" w:rsidRPr="006D66DC" w:rsidRDefault="006C61D2" w:rsidP="00352017">
            <w:pPr>
              <w:spacing w:line="276" w:lineRule="auto"/>
            </w:pPr>
            <w:r w:rsidRPr="006C61D2">
              <w:lastRenderedPageBreak/>
              <w:t>Flexibility was initiated at the site with the support of the sponsor and would</w:t>
            </w:r>
            <w:r w:rsidR="00377E0D">
              <w:t xml:space="preserve"> </w:t>
            </w:r>
            <w:r w:rsidRPr="006C61D2">
              <w:t>apply to all participants at the site.</w:t>
            </w:r>
          </w:p>
        </w:tc>
      </w:tr>
    </w:tbl>
    <w:p w14:paraId="56A2C718" w14:textId="0A2F6C7C" w:rsidR="005958D2" w:rsidRPr="00201379" w:rsidRDefault="005958D2" w:rsidP="00352017">
      <w:pPr>
        <w:pStyle w:val="Heading2"/>
        <w:spacing w:line="276" w:lineRule="auto"/>
        <w:rPr>
          <w:sz w:val="36"/>
          <w:szCs w:val="24"/>
        </w:rPr>
      </w:pPr>
      <w:r w:rsidRPr="00201379">
        <w:rPr>
          <w:sz w:val="36"/>
          <w:szCs w:val="24"/>
        </w:rPr>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5958D2" w:rsidRPr="004D3DA9" w14:paraId="4B8BD680" w14:textId="77777777" w:rsidTr="002E61B5">
        <w:trPr>
          <w:trHeight w:val="567"/>
        </w:trPr>
        <w:tc>
          <w:tcPr>
            <w:tcW w:w="2112" w:type="dxa"/>
            <w:shd w:val="clear" w:color="auto" w:fill="E8E8E8" w:themeFill="background2"/>
          </w:tcPr>
          <w:p w14:paraId="21A465C1" w14:textId="77777777" w:rsidR="005958D2" w:rsidRPr="00C20036" w:rsidRDefault="005958D2"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3AE0578F" w14:textId="23639563" w:rsidR="005958D2" w:rsidRPr="00C20036" w:rsidRDefault="005958D2" w:rsidP="00352017">
            <w:pPr>
              <w:spacing w:after="160" w:line="276" w:lineRule="auto"/>
              <w:rPr>
                <w:b/>
                <w:bCs/>
                <w:sz w:val="32"/>
                <w:szCs w:val="32"/>
              </w:rPr>
            </w:pPr>
            <w:r>
              <w:rPr>
                <w:b/>
                <w:bCs/>
                <w:sz w:val="32"/>
                <w:szCs w:val="32"/>
              </w:rPr>
              <w:t>Description of impact</w:t>
            </w:r>
          </w:p>
        </w:tc>
      </w:tr>
      <w:tr w:rsidR="005958D2" w:rsidRPr="004D3DA9" w14:paraId="60B1184A" w14:textId="77777777" w:rsidTr="002E61B5">
        <w:trPr>
          <w:trHeight w:val="567"/>
        </w:trPr>
        <w:tc>
          <w:tcPr>
            <w:tcW w:w="2112" w:type="dxa"/>
          </w:tcPr>
          <w:p w14:paraId="4EB0C643" w14:textId="78774F5A" w:rsidR="005958D2" w:rsidRPr="00394D3A" w:rsidRDefault="005958D2" w:rsidP="00352017">
            <w:pPr>
              <w:spacing w:after="160" w:line="276" w:lineRule="auto"/>
            </w:pPr>
            <w:r>
              <w:t>Data collection</w:t>
            </w:r>
          </w:p>
        </w:tc>
        <w:tc>
          <w:tcPr>
            <w:tcW w:w="6884" w:type="dxa"/>
          </w:tcPr>
          <w:p w14:paraId="6EB2E967" w14:textId="3D0D0F39" w:rsidR="005958D2" w:rsidRPr="00394D3A" w:rsidRDefault="00462F62" w:rsidP="00352017">
            <w:pPr>
              <w:spacing w:line="276" w:lineRule="auto"/>
            </w:pPr>
            <w:r w:rsidRPr="00462F62">
              <w:t>Once established, this way of working will increase access to clinical</w:t>
            </w:r>
            <w:r>
              <w:t xml:space="preserve"> </w:t>
            </w:r>
            <w:r w:rsidRPr="00462F62">
              <w:t>research in MM6 locations, increasing the diversity of the participant pool</w:t>
            </w:r>
            <w:r>
              <w:t>.</w:t>
            </w:r>
          </w:p>
        </w:tc>
      </w:tr>
      <w:tr w:rsidR="005958D2" w:rsidRPr="004D3DA9" w14:paraId="266734A5" w14:textId="77777777" w:rsidTr="002E61B5">
        <w:trPr>
          <w:trHeight w:val="567"/>
        </w:trPr>
        <w:tc>
          <w:tcPr>
            <w:tcW w:w="2112" w:type="dxa"/>
          </w:tcPr>
          <w:p w14:paraId="04FDC31A" w14:textId="1BBA2647" w:rsidR="005958D2" w:rsidRPr="00394D3A" w:rsidRDefault="005958D2" w:rsidP="00352017">
            <w:pPr>
              <w:spacing w:after="160" w:line="276" w:lineRule="auto"/>
            </w:pPr>
            <w:r>
              <w:t>Recruitment and retention</w:t>
            </w:r>
          </w:p>
        </w:tc>
        <w:tc>
          <w:tcPr>
            <w:tcW w:w="6884" w:type="dxa"/>
          </w:tcPr>
          <w:p w14:paraId="1632655C" w14:textId="24BD1030" w:rsidR="005958D2" w:rsidRPr="00394D3A" w:rsidRDefault="00462F62" w:rsidP="00352017">
            <w:pPr>
              <w:spacing w:line="276" w:lineRule="auto"/>
            </w:pPr>
            <w:r w:rsidRPr="00462F62">
              <w:t>This flexibility allowed for the recruitment of participants at the MM6 site to</w:t>
            </w:r>
            <w:r>
              <w:t xml:space="preserve"> </w:t>
            </w:r>
            <w:r w:rsidRPr="00462F62">
              <w:t>remain a possibility.</w:t>
            </w:r>
          </w:p>
        </w:tc>
      </w:tr>
      <w:tr w:rsidR="005958D2" w:rsidRPr="004D3DA9" w14:paraId="77730357" w14:textId="77777777" w:rsidTr="002E61B5">
        <w:trPr>
          <w:trHeight w:val="567"/>
        </w:trPr>
        <w:tc>
          <w:tcPr>
            <w:tcW w:w="2112" w:type="dxa"/>
          </w:tcPr>
          <w:p w14:paraId="605B5696" w14:textId="736057F4" w:rsidR="005958D2" w:rsidRDefault="005958D2" w:rsidP="00352017">
            <w:pPr>
              <w:spacing w:line="276" w:lineRule="auto"/>
            </w:pPr>
            <w:r>
              <w:t>Review process</w:t>
            </w:r>
          </w:p>
        </w:tc>
        <w:tc>
          <w:tcPr>
            <w:tcW w:w="6884" w:type="dxa"/>
          </w:tcPr>
          <w:p w14:paraId="2B159E9F" w14:textId="0C09D9D2" w:rsidR="005958D2" w:rsidRPr="006D66DC" w:rsidRDefault="00462F62" w:rsidP="00352017">
            <w:pPr>
              <w:spacing w:line="276" w:lineRule="auto"/>
            </w:pPr>
            <w:r w:rsidRPr="00462F62">
              <w:t>The MM6 site was a satellite site to the MM2 site. This relationship and</w:t>
            </w:r>
            <w:r>
              <w:t xml:space="preserve"> </w:t>
            </w:r>
            <w:r w:rsidRPr="00462F62">
              <w:t xml:space="preserve">allocation of activities/responsibilities was outlined in the </w:t>
            </w:r>
            <w:proofErr w:type="spellStart"/>
            <w:r w:rsidRPr="00462F62">
              <w:t>Teletrial</w:t>
            </w:r>
            <w:proofErr w:type="spellEnd"/>
            <w:r>
              <w:t xml:space="preserve"> </w:t>
            </w:r>
            <w:r w:rsidRPr="00462F62">
              <w:t xml:space="preserve">Supervision </w:t>
            </w:r>
            <w:proofErr w:type="gramStart"/>
            <w:r w:rsidRPr="00462F62">
              <w:t>Plan, and</w:t>
            </w:r>
            <w:proofErr w:type="gramEnd"/>
            <w:r w:rsidRPr="00462F62">
              <w:t xml:space="preserve"> reviewed by the RGO.</w:t>
            </w:r>
          </w:p>
        </w:tc>
      </w:tr>
      <w:tr w:rsidR="005958D2" w:rsidRPr="004D3DA9" w14:paraId="725A203E" w14:textId="77777777" w:rsidTr="002E61B5">
        <w:trPr>
          <w:trHeight w:val="567"/>
        </w:trPr>
        <w:tc>
          <w:tcPr>
            <w:tcW w:w="2112" w:type="dxa"/>
          </w:tcPr>
          <w:p w14:paraId="3CDDE097" w14:textId="043DA092" w:rsidR="005958D2" w:rsidRDefault="005958D2" w:rsidP="00352017">
            <w:pPr>
              <w:spacing w:line="276" w:lineRule="auto"/>
            </w:pPr>
            <w:r>
              <w:t>Contracts</w:t>
            </w:r>
          </w:p>
        </w:tc>
        <w:tc>
          <w:tcPr>
            <w:tcW w:w="6884" w:type="dxa"/>
          </w:tcPr>
          <w:p w14:paraId="26FDD17B" w14:textId="2E3A78C8" w:rsidR="005958D2" w:rsidRPr="006D66DC" w:rsidRDefault="00B91E4A" w:rsidP="00352017">
            <w:pPr>
              <w:spacing w:line="276" w:lineRule="auto"/>
            </w:pPr>
            <w:r w:rsidRPr="00B91E4A">
              <w:t>An account was established with the courier to provide temperature</w:t>
            </w:r>
            <w:r>
              <w:t xml:space="preserve"> </w:t>
            </w:r>
            <w:r w:rsidRPr="00B91E4A">
              <w:t>controlled</w:t>
            </w:r>
            <w:r>
              <w:t xml:space="preserve"> </w:t>
            </w:r>
            <w:r w:rsidRPr="00B91E4A">
              <w:t>and -monitored freight of the IMP.</w:t>
            </w:r>
          </w:p>
        </w:tc>
      </w:tr>
      <w:tr w:rsidR="005958D2" w:rsidRPr="004D3DA9" w14:paraId="4D60D23B" w14:textId="77777777" w:rsidTr="002E61B5">
        <w:trPr>
          <w:trHeight w:val="567"/>
        </w:trPr>
        <w:tc>
          <w:tcPr>
            <w:tcW w:w="2112" w:type="dxa"/>
          </w:tcPr>
          <w:p w14:paraId="6F090849" w14:textId="49E5277F" w:rsidR="005958D2" w:rsidRDefault="005958D2" w:rsidP="00352017">
            <w:pPr>
              <w:spacing w:line="276" w:lineRule="auto"/>
            </w:pPr>
            <w:r>
              <w:t>Finances</w:t>
            </w:r>
          </w:p>
        </w:tc>
        <w:tc>
          <w:tcPr>
            <w:tcW w:w="6884" w:type="dxa"/>
          </w:tcPr>
          <w:p w14:paraId="488FBD5F" w14:textId="68DDC4AC" w:rsidR="005958D2" w:rsidRPr="006D66DC" w:rsidRDefault="00B91E4A" w:rsidP="00352017">
            <w:pPr>
              <w:spacing w:line="276" w:lineRule="auto"/>
            </w:pPr>
            <w:r w:rsidRPr="00B91E4A">
              <w:t xml:space="preserve">The cost of shipping was to be charged to the Australian </w:t>
            </w:r>
            <w:proofErr w:type="spellStart"/>
            <w:r w:rsidRPr="00B91E4A">
              <w:t>Teletrial</w:t>
            </w:r>
            <w:proofErr w:type="spellEnd"/>
            <w:r w:rsidRPr="00B91E4A">
              <w:t xml:space="preserve"> Program’s</w:t>
            </w:r>
            <w:r>
              <w:t xml:space="preserve"> </w:t>
            </w:r>
            <w:r w:rsidRPr="00B91E4A">
              <w:t>account and reimbursed by the Sponsor (~$1000 per consignment,</w:t>
            </w:r>
            <w:r>
              <w:t xml:space="preserve"> </w:t>
            </w:r>
            <w:r w:rsidRPr="00B91E4A">
              <w:t>quarterly). Although there is no CT pharmacist at the satellite site, a CT</w:t>
            </w:r>
            <w:r>
              <w:t xml:space="preserve"> </w:t>
            </w:r>
            <w:r w:rsidRPr="00B91E4A">
              <w:t>pharmacist at the primary site was still required to dispense the IMP, and as</w:t>
            </w:r>
            <w:r>
              <w:t xml:space="preserve"> </w:t>
            </w:r>
            <w:r w:rsidRPr="00B91E4A">
              <w:t>the cost of freight is reimbursed by the Sponsor, it is cost-neutral to the site.</w:t>
            </w:r>
          </w:p>
        </w:tc>
      </w:tr>
    </w:tbl>
    <w:p w14:paraId="338AF818" w14:textId="77777777" w:rsidR="005958D2" w:rsidRDefault="005958D2" w:rsidP="00352017">
      <w:pPr>
        <w:spacing w:line="276" w:lineRule="auto"/>
      </w:pPr>
    </w:p>
    <w:p w14:paraId="3DBCBBAF" w14:textId="77777777" w:rsidR="005958D2" w:rsidRPr="00201379" w:rsidRDefault="005958D2" w:rsidP="00352017">
      <w:pPr>
        <w:pStyle w:val="Heading2"/>
        <w:spacing w:line="276" w:lineRule="auto"/>
        <w:rPr>
          <w:sz w:val="36"/>
          <w:szCs w:val="24"/>
        </w:rPr>
      </w:pPr>
      <w:r w:rsidRPr="00201379">
        <w:rPr>
          <w:sz w:val="36"/>
          <w:szCs w:val="24"/>
        </w:rPr>
        <w:t>Overall thoughts</w:t>
      </w:r>
    </w:p>
    <w:p w14:paraId="474FEE1C" w14:textId="01E14AB5" w:rsidR="00826588" w:rsidRPr="00826588" w:rsidRDefault="00826588" w:rsidP="00352017">
      <w:pPr>
        <w:spacing w:line="276" w:lineRule="auto"/>
      </w:pPr>
      <w:r w:rsidRPr="00826588">
        <w:t>Key strengths of this approach were improved flexibility and capacity increasing, as supply does not</w:t>
      </w:r>
      <w:r>
        <w:t xml:space="preserve"> h</w:t>
      </w:r>
      <w:r w:rsidRPr="00826588">
        <w:t>inge on the availability of a delegated pharmacist at the MM6 location.</w:t>
      </w:r>
    </w:p>
    <w:p w14:paraId="20375F3B" w14:textId="08AF60D4" w:rsidR="00826588" w:rsidRPr="00826588" w:rsidRDefault="00826588" w:rsidP="00352017">
      <w:pPr>
        <w:spacing w:line="276" w:lineRule="auto"/>
      </w:pPr>
      <w:r w:rsidRPr="00826588">
        <w:t>Because we knew that the MM6 location was desirable to the sponsor from the Site Initiation Visit</w:t>
      </w:r>
      <w:r>
        <w:t xml:space="preserve"> </w:t>
      </w:r>
      <w:r w:rsidRPr="00826588">
        <w:t>(SIV) at the MM2 location we were able to work on this from that early stage. The sponsor</w:t>
      </w:r>
      <w:r>
        <w:t xml:space="preserve"> </w:t>
      </w:r>
      <w:r w:rsidRPr="00826588">
        <w:t>acknowledge we are an emerging site with limited clinical trial experience at the time of the SIV.</w:t>
      </w:r>
    </w:p>
    <w:p w14:paraId="02E2F810" w14:textId="2728A040" w:rsidR="005958D2" w:rsidRDefault="00826588" w:rsidP="00352017">
      <w:pPr>
        <w:spacing w:line="276" w:lineRule="auto"/>
      </w:pPr>
      <w:r w:rsidRPr="00826588">
        <w:t>This type of approach would need to be done on a case-by-case basis and in negotiation with the</w:t>
      </w:r>
      <w:r>
        <w:t xml:space="preserve"> </w:t>
      </w:r>
      <w:r w:rsidRPr="00826588">
        <w:t>Sponsor. It hinges on the MM2 site dispensing the IMP prior to sending. It would not have been an</w:t>
      </w:r>
      <w:r>
        <w:t xml:space="preserve"> </w:t>
      </w:r>
      <w:r w:rsidRPr="00826588">
        <w:t>option for the MM6 CTC to receive it and supply to the patie</w:t>
      </w:r>
      <w:r w:rsidRPr="00951D68">
        <w:t>nt.</w:t>
      </w:r>
      <w:r w:rsidR="005958D2" w:rsidRPr="00951D68">
        <w:br w:type="page"/>
      </w:r>
    </w:p>
    <w:p w14:paraId="715900FF" w14:textId="39C92164" w:rsidR="00200BBD" w:rsidRDefault="00200BBD" w:rsidP="00352017">
      <w:pPr>
        <w:pStyle w:val="Heading1"/>
        <w:spacing w:line="276" w:lineRule="auto"/>
      </w:pPr>
      <w:bookmarkStart w:id="3" w:name="_Toc230005679"/>
      <w:r>
        <w:lastRenderedPageBreak/>
        <w:t>Case Study 3:</w:t>
      </w:r>
      <w:r w:rsidR="00A44F1C">
        <w:t xml:space="preserve"> International participant travel</w:t>
      </w:r>
      <w:bookmarkEnd w:id="3"/>
    </w:p>
    <w:p w14:paraId="51E3985A" w14:textId="26A7020D" w:rsidR="00200BBD" w:rsidRDefault="00200BBD" w:rsidP="00352017">
      <w:pPr>
        <w:spacing w:line="276" w:lineRule="auto"/>
      </w:pPr>
      <w:r>
        <w:t xml:space="preserve">Case study provided by: </w:t>
      </w:r>
      <w:r w:rsidR="00A44F1C">
        <w:t>Alexion Pharmaceuticals, Inc</w:t>
      </w:r>
    </w:p>
    <w:p w14:paraId="739C9AB9" w14:textId="3821272D" w:rsidR="005B5B89" w:rsidRDefault="00200BBD" w:rsidP="00352017">
      <w:pPr>
        <w:spacing w:line="276" w:lineRule="auto"/>
      </w:pPr>
      <w:r>
        <w:t xml:space="preserve">For more information contact: </w:t>
      </w:r>
      <w:r w:rsidR="005B5B89" w:rsidRPr="005B5B89">
        <w:t>Leila Lotfi, Head of Country Operations</w:t>
      </w:r>
      <w:r w:rsidR="005B5B89">
        <w:t>.</w:t>
      </w:r>
    </w:p>
    <w:p w14:paraId="1607FEF7" w14:textId="3F09BCCB" w:rsidR="00200BBD" w:rsidRPr="00201379" w:rsidRDefault="00200BBD" w:rsidP="00352017">
      <w:pPr>
        <w:pStyle w:val="Heading2"/>
        <w:spacing w:line="276" w:lineRule="auto"/>
        <w:rPr>
          <w:sz w:val="36"/>
          <w:szCs w:val="24"/>
        </w:rPr>
      </w:pPr>
      <w:r w:rsidRPr="00201379">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6F34D743" w14:textId="77777777" w:rsidTr="002E61B5">
        <w:trPr>
          <w:trHeight w:val="567"/>
        </w:trPr>
        <w:tc>
          <w:tcPr>
            <w:tcW w:w="2112" w:type="dxa"/>
            <w:shd w:val="clear" w:color="auto" w:fill="E8E8E8" w:themeFill="background2"/>
          </w:tcPr>
          <w:p w14:paraId="4BCCF88F"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116873F2" w14:textId="77777777" w:rsidR="00200BBD" w:rsidRPr="00C20036" w:rsidRDefault="00200BBD" w:rsidP="00352017">
            <w:pPr>
              <w:spacing w:after="160" w:line="276" w:lineRule="auto"/>
              <w:rPr>
                <w:b/>
                <w:bCs/>
                <w:sz w:val="32"/>
                <w:szCs w:val="32"/>
              </w:rPr>
            </w:pPr>
            <w:r>
              <w:rPr>
                <w:b/>
                <w:bCs/>
                <w:sz w:val="32"/>
                <w:szCs w:val="32"/>
              </w:rPr>
              <w:t>Description of context</w:t>
            </w:r>
          </w:p>
        </w:tc>
      </w:tr>
      <w:tr w:rsidR="00200BBD" w:rsidRPr="004D3DA9" w14:paraId="1A5CD69E" w14:textId="77777777" w:rsidTr="002E61B5">
        <w:trPr>
          <w:trHeight w:val="567"/>
        </w:trPr>
        <w:tc>
          <w:tcPr>
            <w:tcW w:w="2112" w:type="dxa"/>
          </w:tcPr>
          <w:p w14:paraId="59332910" w14:textId="77777777" w:rsidR="00200BBD" w:rsidRPr="00394D3A" w:rsidRDefault="00200BBD" w:rsidP="00352017">
            <w:pPr>
              <w:spacing w:after="160" w:line="276" w:lineRule="auto"/>
            </w:pPr>
            <w:r>
              <w:t>Description of trial aim</w:t>
            </w:r>
          </w:p>
        </w:tc>
        <w:tc>
          <w:tcPr>
            <w:tcW w:w="6884" w:type="dxa"/>
          </w:tcPr>
          <w:p w14:paraId="1ABB313E" w14:textId="05767EE6" w:rsidR="00200BBD" w:rsidRPr="00394D3A" w:rsidRDefault="005B5B89" w:rsidP="00352017">
            <w:pPr>
              <w:spacing w:line="276" w:lineRule="auto"/>
            </w:pPr>
            <w:r w:rsidRPr="005B5B89">
              <w:t>Testing an Investigational Medical Product (IMP) for a rare disease clinical</w:t>
            </w:r>
            <w:r>
              <w:t xml:space="preserve"> </w:t>
            </w:r>
            <w:r w:rsidRPr="005B5B89">
              <w:t>trial, with a randomised double-blind design. Participants were adults with</w:t>
            </w:r>
            <w:r>
              <w:t xml:space="preserve"> </w:t>
            </w:r>
            <w:r w:rsidRPr="005B5B89">
              <w:t>the stated rare disease</w:t>
            </w:r>
          </w:p>
        </w:tc>
      </w:tr>
      <w:tr w:rsidR="00200BBD" w:rsidRPr="004D3DA9" w14:paraId="28C9C208" w14:textId="77777777" w:rsidTr="002E61B5">
        <w:trPr>
          <w:trHeight w:val="567"/>
        </w:trPr>
        <w:tc>
          <w:tcPr>
            <w:tcW w:w="2112" w:type="dxa"/>
          </w:tcPr>
          <w:p w14:paraId="76A21CA0" w14:textId="77777777" w:rsidR="00200BBD" w:rsidRPr="00394D3A" w:rsidRDefault="00200BBD" w:rsidP="00352017">
            <w:pPr>
              <w:spacing w:after="160" w:line="276" w:lineRule="auto"/>
            </w:pPr>
            <w:r>
              <w:t>Trial size and location(s)</w:t>
            </w:r>
          </w:p>
        </w:tc>
        <w:tc>
          <w:tcPr>
            <w:tcW w:w="6884" w:type="dxa"/>
          </w:tcPr>
          <w:p w14:paraId="44310CED" w14:textId="4D3F8620" w:rsidR="00200BBD" w:rsidRPr="00394D3A" w:rsidRDefault="00D143A4" w:rsidP="00352017">
            <w:pPr>
              <w:spacing w:line="276" w:lineRule="auto"/>
            </w:pPr>
            <w:r w:rsidRPr="00D143A4">
              <w:t>Multicentre global clinical trial. This scenario impacted just one Australian</w:t>
            </w:r>
            <w:r>
              <w:t xml:space="preserve"> </w:t>
            </w:r>
            <w:r w:rsidRPr="00D143A4">
              <w:t>participant.</w:t>
            </w:r>
          </w:p>
        </w:tc>
      </w:tr>
      <w:tr w:rsidR="00200BBD" w:rsidRPr="004D3DA9" w14:paraId="20633330" w14:textId="77777777" w:rsidTr="002E61B5">
        <w:trPr>
          <w:trHeight w:val="567"/>
        </w:trPr>
        <w:tc>
          <w:tcPr>
            <w:tcW w:w="2112" w:type="dxa"/>
          </w:tcPr>
          <w:p w14:paraId="5F256FE4" w14:textId="77777777" w:rsidR="00200BBD" w:rsidRDefault="00200BBD" w:rsidP="00352017">
            <w:pPr>
              <w:spacing w:line="276" w:lineRule="auto"/>
            </w:pPr>
            <w:r>
              <w:t>Sponsor</w:t>
            </w:r>
          </w:p>
        </w:tc>
        <w:tc>
          <w:tcPr>
            <w:tcW w:w="6884" w:type="dxa"/>
          </w:tcPr>
          <w:p w14:paraId="3A426681" w14:textId="6F1BE047" w:rsidR="00200BBD" w:rsidRPr="006D66DC" w:rsidRDefault="00D143A4" w:rsidP="00352017">
            <w:pPr>
              <w:spacing w:line="276" w:lineRule="auto"/>
            </w:pPr>
            <w:r w:rsidRPr="00D143A4">
              <w:t>Large multinational pharmaceutical company sponsor, with local affiliate as</w:t>
            </w:r>
            <w:r>
              <w:t xml:space="preserve"> </w:t>
            </w:r>
            <w:r w:rsidRPr="00D143A4">
              <w:t>country sponsor.</w:t>
            </w:r>
          </w:p>
        </w:tc>
      </w:tr>
      <w:tr w:rsidR="00200BBD" w:rsidRPr="004D3DA9" w14:paraId="057A71CB" w14:textId="77777777" w:rsidTr="002E61B5">
        <w:trPr>
          <w:trHeight w:val="567"/>
        </w:trPr>
        <w:tc>
          <w:tcPr>
            <w:tcW w:w="2112" w:type="dxa"/>
          </w:tcPr>
          <w:p w14:paraId="18AF877D" w14:textId="77777777" w:rsidR="00200BBD" w:rsidRDefault="00200BBD" w:rsidP="00352017">
            <w:pPr>
              <w:spacing w:line="276" w:lineRule="auto"/>
            </w:pPr>
            <w:r>
              <w:t>Why were flexible</w:t>
            </w:r>
          </w:p>
          <w:p w14:paraId="20ED9217" w14:textId="77777777" w:rsidR="00200BBD" w:rsidRDefault="00200BBD" w:rsidP="00352017">
            <w:pPr>
              <w:spacing w:line="276" w:lineRule="auto"/>
            </w:pPr>
            <w:r>
              <w:t>trial elements used?</w:t>
            </w:r>
          </w:p>
        </w:tc>
        <w:tc>
          <w:tcPr>
            <w:tcW w:w="6884" w:type="dxa"/>
          </w:tcPr>
          <w:p w14:paraId="550A415D" w14:textId="29D7D50E" w:rsidR="00200BBD" w:rsidRPr="006D66DC" w:rsidRDefault="00D143A4" w:rsidP="00352017">
            <w:pPr>
              <w:spacing w:line="276" w:lineRule="auto"/>
            </w:pPr>
            <w:r w:rsidRPr="00D143A4">
              <w:t>Flexible elements were used because one participant needed to maintain</w:t>
            </w:r>
            <w:r>
              <w:t xml:space="preserve"> </w:t>
            </w:r>
            <w:r w:rsidRPr="00D143A4">
              <w:t>dosing while traveling in Canada. Since the trial requires biweekly dosing, the</w:t>
            </w:r>
            <w:r>
              <w:t xml:space="preserve"> </w:t>
            </w:r>
            <w:r w:rsidRPr="00D143A4">
              <w:t>participant would otherwise have been unable to travel for an extended</w:t>
            </w:r>
            <w:r>
              <w:t xml:space="preserve"> </w:t>
            </w:r>
            <w:r w:rsidRPr="00D143A4">
              <w:t>period during enrolment. This flexibility prevented protocol deviations and</w:t>
            </w:r>
            <w:r>
              <w:t xml:space="preserve"> </w:t>
            </w:r>
            <w:r w:rsidRPr="00D143A4">
              <w:t>ensured the participant did not miss doses or experience long dosing gaps,</w:t>
            </w:r>
            <w:r>
              <w:t xml:space="preserve"> </w:t>
            </w:r>
            <w:r w:rsidRPr="00D143A4">
              <w:t>protecting both protocol compliance and safety. Supporting this flexibility</w:t>
            </w:r>
            <w:r>
              <w:t xml:space="preserve"> </w:t>
            </w:r>
            <w:r w:rsidRPr="00D143A4">
              <w:t>has also positively impacted the participant’s well-being and trial retention.</w:t>
            </w:r>
          </w:p>
        </w:tc>
      </w:tr>
      <w:tr w:rsidR="00200BBD" w:rsidRPr="004D3DA9" w14:paraId="5829D14D" w14:textId="77777777" w:rsidTr="002E61B5">
        <w:trPr>
          <w:trHeight w:val="567"/>
        </w:trPr>
        <w:tc>
          <w:tcPr>
            <w:tcW w:w="2112" w:type="dxa"/>
          </w:tcPr>
          <w:p w14:paraId="456C2687" w14:textId="77777777" w:rsidR="00200BBD" w:rsidRDefault="00200BBD" w:rsidP="00352017">
            <w:pPr>
              <w:spacing w:line="276" w:lineRule="auto"/>
            </w:pPr>
            <w:r>
              <w:t>What flexible</w:t>
            </w:r>
          </w:p>
          <w:p w14:paraId="610EE235" w14:textId="77777777" w:rsidR="00200BBD" w:rsidRDefault="00200BBD" w:rsidP="00352017">
            <w:pPr>
              <w:spacing w:line="276" w:lineRule="auto"/>
            </w:pPr>
            <w:r>
              <w:t>elements were used?</w:t>
            </w:r>
          </w:p>
        </w:tc>
        <w:tc>
          <w:tcPr>
            <w:tcW w:w="6884" w:type="dxa"/>
          </w:tcPr>
          <w:p w14:paraId="1308EAF1" w14:textId="1FB67723" w:rsidR="00200BBD" w:rsidRPr="006D66DC" w:rsidRDefault="002D0522" w:rsidP="00352017">
            <w:pPr>
              <w:spacing w:line="276" w:lineRule="auto"/>
            </w:pPr>
            <w:r w:rsidRPr="002D0522">
              <w:t>The IMP and ancillary supplies were shipped internationally directly to the</w:t>
            </w:r>
            <w:r>
              <w:t xml:space="preserve"> </w:t>
            </w:r>
            <w:r w:rsidRPr="002D0522">
              <w:t>participant’s accommodation via a speciality courier, ensuring cold-chain</w:t>
            </w:r>
            <w:r>
              <w:t xml:space="preserve"> </w:t>
            </w:r>
            <w:r w:rsidRPr="002D0522">
              <w:t>requirements with temperature loggers. This process involved ethics and</w:t>
            </w:r>
            <w:r>
              <w:t xml:space="preserve"> </w:t>
            </w:r>
            <w:r w:rsidRPr="002D0522">
              <w:t>governance review, patient-specific consent for data disclosure, and</w:t>
            </w:r>
            <w:r>
              <w:t xml:space="preserve"> </w:t>
            </w:r>
            <w:r w:rsidRPr="002D0522">
              <w:t>sponsor-led insurance and legal review to ensure coverage was maintained</w:t>
            </w:r>
            <w:r>
              <w:t xml:space="preserve"> </w:t>
            </w:r>
            <w:r w:rsidRPr="002D0522">
              <w:t>throughout.</w:t>
            </w:r>
          </w:p>
        </w:tc>
      </w:tr>
      <w:tr w:rsidR="00200BBD" w:rsidRPr="004D3DA9" w14:paraId="624E0EED" w14:textId="77777777" w:rsidTr="002E61B5">
        <w:trPr>
          <w:trHeight w:val="567"/>
        </w:trPr>
        <w:tc>
          <w:tcPr>
            <w:tcW w:w="2112" w:type="dxa"/>
          </w:tcPr>
          <w:p w14:paraId="574F6830" w14:textId="77777777" w:rsidR="00200BBD" w:rsidRDefault="00200BBD" w:rsidP="00352017">
            <w:pPr>
              <w:spacing w:line="276" w:lineRule="auto"/>
            </w:pPr>
            <w:r>
              <w:t>How was flexibility</w:t>
            </w:r>
          </w:p>
          <w:p w14:paraId="1C5CE4E3" w14:textId="77777777" w:rsidR="00200BBD" w:rsidRDefault="00200BBD" w:rsidP="00352017">
            <w:pPr>
              <w:spacing w:line="276" w:lineRule="auto"/>
            </w:pPr>
            <w:r>
              <w:t>added?</w:t>
            </w:r>
          </w:p>
        </w:tc>
        <w:tc>
          <w:tcPr>
            <w:tcW w:w="6884" w:type="dxa"/>
          </w:tcPr>
          <w:p w14:paraId="4D3516DC" w14:textId="77777777" w:rsidR="002D0522" w:rsidRDefault="002D0522" w:rsidP="00352017">
            <w:pPr>
              <w:spacing w:line="276" w:lineRule="auto"/>
            </w:pPr>
            <w:r w:rsidRPr="002D0522">
              <w:t>Contracts for supply and shipping were amended; TGA approval for export</w:t>
            </w:r>
            <w:r>
              <w:t xml:space="preserve"> </w:t>
            </w:r>
            <w:r w:rsidRPr="002D0522">
              <w:t>was obtained; data privacy consent for international data sharing was</w:t>
            </w:r>
            <w:r>
              <w:t xml:space="preserve"> </w:t>
            </w:r>
            <w:r w:rsidRPr="002D0522">
              <w:t>developed and signed; ethics/governance review was sought regarding the</w:t>
            </w:r>
            <w:r>
              <w:t xml:space="preserve"> </w:t>
            </w:r>
            <w:r w:rsidRPr="002D0522">
              <w:t xml:space="preserve">plan; insurance coverage was </w:t>
            </w:r>
            <w:r w:rsidRPr="002D0522">
              <w:lastRenderedPageBreak/>
              <w:t>clarified, with PI documentation arranged as</w:t>
            </w:r>
            <w:r>
              <w:t xml:space="preserve"> </w:t>
            </w:r>
            <w:r w:rsidRPr="002D0522">
              <w:t>required; and bespoke courier logistics and storage solutions were sourced.</w:t>
            </w:r>
            <w:r>
              <w:t xml:space="preserve"> </w:t>
            </w:r>
          </w:p>
          <w:p w14:paraId="05507FFC" w14:textId="77777777" w:rsidR="002D0522" w:rsidRDefault="002D0522" w:rsidP="00352017">
            <w:pPr>
              <w:spacing w:line="276" w:lineRule="auto"/>
            </w:pPr>
          </w:p>
          <w:p w14:paraId="32C59E13" w14:textId="08BAE785" w:rsidR="00200BBD" w:rsidRPr="006D66DC" w:rsidRDefault="002D0522" w:rsidP="00352017">
            <w:pPr>
              <w:spacing w:line="276" w:lineRule="auto"/>
            </w:pPr>
            <w:r w:rsidRPr="002D0522">
              <w:t>These adaptations were operationally managed rather than included in the</w:t>
            </w:r>
            <w:r>
              <w:t xml:space="preserve"> </w:t>
            </w:r>
            <w:r w:rsidRPr="002D0522">
              <w:t>original protocol.</w:t>
            </w:r>
          </w:p>
        </w:tc>
      </w:tr>
    </w:tbl>
    <w:p w14:paraId="679F73A3" w14:textId="77777777" w:rsidR="00200BBD" w:rsidRPr="00201379" w:rsidRDefault="00200BBD" w:rsidP="00352017">
      <w:pPr>
        <w:pStyle w:val="Heading2"/>
        <w:spacing w:line="276" w:lineRule="auto"/>
        <w:rPr>
          <w:sz w:val="36"/>
          <w:szCs w:val="24"/>
        </w:rPr>
      </w:pPr>
      <w:r w:rsidRPr="00201379">
        <w:rPr>
          <w:sz w:val="36"/>
          <w:szCs w:val="24"/>
        </w:rPr>
        <w:lastRenderedPageBreak/>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307CBE8E" w14:textId="77777777" w:rsidTr="002E61B5">
        <w:trPr>
          <w:trHeight w:val="567"/>
        </w:trPr>
        <w:tc>
          <w:tcPr>
            <w:tcW w:w="2112" w:type="dxa"/>
            <w:shd w:val="clear" w:color="auto" w:fill="E8E8E8" w:themeFill="background2"/>
          </w:tcPr>
          <w:p w14:paraId="6B241060"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61951CBF" w14:textId="77777777" w:rsidR="00200BBD" w:rsidRPr="00C20036" w:rsidRDefault="00200BBD" w:rsidP="00352017">
            <w:pPr>
              <w:spacing w:after="160" w:line="276" w:lineRule="auto"/>
              <w:rPr>
                <w:b/>
                <w:bCs/>
                <w:sz w:val="32"/>
                <w:szCs w:val="32"/>
              </w:rPr>
            </w:pPr>
            <w:r>
              <w:rPr>
                <w:b/>
                <w:bCs/>
                <w:sz w:val="32"/>
                <w:szCs w:val="32"/>
              </w:rPr>
              <w:t>Description of impact</w:t>
            </w:r>
          </w:p>
        </w:tc>
      </w:tr>
      <w:tr w:rsidR="00200BBD" w:rsidRPr="004D3DA9" w14:paraId="6B41AA44" w14:textId="77777777" w:rsidTr="002E61B5">
        <w:trPr>
          <w:trHeight w:val="567"/>
        </w:trPr>
        <w:tc>
          <w:tcPr>
            <w:tcW w:w="2112" w:type="dxa"/>
          </w:tcPr>
          <w:p w14:paraId="3CA70808" w14:textId="77777777" w:rsidR="00200BBD" w:rsidRPr="00394D3A" w:rsidRDefault="00200BBD" w:rsidP="00352017">
            <w:pPr>
              <w:spacing w:after="160" w:line="276" w:lineRule="auto"/>
            </w:pPr>
            <w:r>
              <w:t>Data collection</w:t>
            </w:r>
          </w:p>
        </w:tc>
        <w:tc>
          <w:tcPr>
            <w:tcW w:w="6884" w:type="dxa"/>
          </w:tcPr>
          <w:p w14:paraId="6EEBE874" w14:textId="72153608" w:rsidR="00200BBD" w:rsidRPr="00394D3A" w:rsidRDefault="00DF06B9" w:rsidP="00352017">
            <w:pPr>
              <w:spacing w:line="276" w:lineRule="auto"/>
            </w:pPr>
            <w:r w:rsidRPr="00DF06B9">
              <w:t>No anticipated loss of data; the patient continued dosing at the scheduled</w:t>
            </w:r>
            <w:r>
              <w:t xml:space="preserve"> </w:t>
            </w:r>
            <w:r w:rsidRPr="00DF06B9">
              <w:t>interval, and follow-up visits to protocol schedule were maintained before</w:t>
            </w:r>
            <w:r>
              <w:t xml:space="preserve"> </w:t>
            </w:r>
            <w:r w:rsidRPr="00DF06B9">
              <w:t>and after the trip.</w:t>
            </w:r>
          </w:p>
        </w:tc>
      </w:tr>
      <w:tr w:rsidR="00200BBD" w:rsidRPr="004D3DA9" w14:paraId="1B55B2C5" w14:textId="77777777" w:rsidTr="002E61B5">
        <w:trPr>
          <w:trHeight w:val="567"/>
        </w:trPr>
        <w:tc>
          <w:tcPr>
            <w:tcW w:w="2112" w:type="dxa"/>
          </w:tcPr>
          <w:p w14:paraId="512DE3EB" w14:textId="77777777" w:rsidR="00200BBD" w:rsidRPr="00394D3A" w:rsidRDefault="00200BBD" w:rsidP="00352017">
            <w:pPr>
              <w:spacing w:after="160" w:line="276" w:lineRule="auto"/>
            </w:pPr>
            <w:r>
              <w:t>Recruitment and retention</w:t>
            </w:r>
          </w:p>
        </w:tc>
        <w:tc>
          <w:tcPr>
            <w:tcW w:w="6884" w:type="dxa"/>
          </w:tcPr>
          <w:p w14:paraId="688D99E4" w14:textId="6E2B40E3" w:rsidR="00200BBD" w:rsidRPr="00394D3A" w:rsidRDefault="00DF06B9" w:rsidP="00352017">
            <w:pPr>
              <w:spacing w:line="276" w:lineRule="auto"/>
            </w:pPr>
            <w:r w:rsidRPr="00DF06B9">
              <w:t>Retention was maintained: the participant remained enrolled and compliant</w:t>
            </w:r>
            <w:r>
              <w:t xml:space="preserve"> </w:t>
            </w:r>
            <w:r w:rsidRPr="00DF06B9">
              <w:t>with the protocol, avoiding a protocol deviation or withdrawal.</w:t>
            </w:r>
          </w:p>
        </w:tc>
      </w:tr>
      <w:tr w:rsidR="00200BBD" w:rsidRPr="004D3DA9" w14:paraId="3BB4C7DE" w14:textId="77777777" w:rsidTr="002E61B5">
        <w:trPr>
          <w:trHeight w:val="567"/>
        </w:trPr>
        <w:tc>
          <w:tcPr>
            <w:tcW w:w="2112" w:type="dxa"/>
          </w:tcPr>
          <w:p w14:paraId="41B7FB78" w14:textId="77777777" w:rsidR="00200BBD" w:rsidRDefault="00200BBD" w:rsidP="00352017">
            <w:pPr>
              <w:spacing w:line="276" w:lineRule="auto"/>
            </w:pPr>
            <w:r>
              <w:t>Review process</w:t>
            </w:r>
          </w:p>
        </w:tc>
        <w:tc>
          <w:tcPr>
            <w:tcW w:w="6884" w:type="dxa"/>
          </w:tcPr>
          <w:p w14:paraId="4A370482" w14:textId="5A441595" w:rsidR="00200BBD" w:rsidRPr="006D66DC" w:rsidRDefault="00DF06B9" w:rsidP="00352017">
            <w:pPr>
              <w:spacing w:line="276" w:lineRule="auto"/>
            </w:pPr>
            <w:r w:rsidRPr="00DF06B9">
              <w:t>Additional review by ethics, site governance, and legal/privacy officers was</w:t>
            </w:r>
            <w:r>
              <w:t xml:space="preserve"> </w:t>
            </w:r>
            <w:r w:rsidRPr="00DF06B9">
              <w:t>required for the international element and data privacy. The trial "site"</w:t>
            </w:r>
            <w:r>
              <w:t xml:space="preserve"> </w:t>
            </w:r>
            <w:r w:rsidRPr="00DF06B9">
              <w:t>remained the Australian centre where participant was enrolled, with</w:t>
            </w:r>
            <w:r>
              <w:t xml:space="preserve"> </w:t>
            </w:r>
            <w:r w:rsidRPr="00DF06B9">
              <w:t>oversight preserved remotely.</w:t>
            </w:r>
          </w:p>
        </w:tc>
      </w:tr>
      <w:tr w:rsidR="00200BBD" w:rsidRPr="004D3DA9" w14:paraId="0E086DB1" w14:textId="77777777" w:rsidTr="002E61B5">
        <w:trPr>
          <w:trHeight w:val="567"/>
        </w:trPr>
        <w:tc>
          <w:tcPr>
            <w:tcW w:w="2112" w:type="dxa"/>
          </w:tcPr>
          <w:p w14:paraId="216464EB" w14:textId="77777777" w:rsidR="00200BBD" w:rsidRDefault="00200BBD" w:rsidP="00352017">
            <w:pPr>
              <w:spacing w:line="276" w:lineRule="auto"/>
            </w:pPr>
            <w:r>
              <w:t>Contracts</w:t>
            </w:r>
          </w:p>
        </w:tc>
        <w:tc>
          <w:tcPr>
            <w:tcW w:w="6884" w:type="dxa"/>
          </w:tcPr>
          <w:p w14:paraId="238059F9" w14:textId="0A643393" w:rsidR="00200BBD" w:rsidRPr="006D66DC" w:rsidRDefault="00345516" w:rsidP="00352017">
            <w:pPr>
              <w:spacing w:line="276" w:lineRule="auto"/>
            </w:pPr>
            <w:r w:rsidRPr="00345516">
              <w:t>This process required contract amendments with the courier, the use of a</w:t>
            </w:r>
            <w:r>
              <w:t xml:space="preserve"> </w:t>
            </w:r>
            <w:r w:rsidRPr="00345516">
              <w:t>Canadian consignee, and patient-specific documentation for import/export</w:t>
            </w:r>
            <w:r>
              <w:t xml:space="preserve"> </w:t>
            </w:r>
            <w:r w:rsidRPr="00345516">
              <w:t>and insurance. All aspects were organised and overseen by the Sponsor from</w:t>
            </w:r>
            <w:r>
              <w:t xml:space="preserve"> </w:t>
            </w:r>
            <w:r w:rsidRPr="00345516">
              <w:t>Australia.</w:t>
            </w:r>
          </w:p>
        </w:tc>
      </w:tr>
      <w:tr w:rsidR="00200BBD" w:rsidRPr="004D3DA9" w14:paraId="34617896" w14:textId="77777777" w:rsidTr="002E61B5">
        <w:trPr>
          <w:trHeight w:val="567"/>
        </w:trPr>
        <w:tc>
          <w:tcPr>
            <w:tcW w:w="2112" w:type="dxa"/>
          </w:tcPr>
          <w:p w14:paraId="7464D6AB" w14:textId="77777777" w:rsidR="00200BBD" w:rsidRDefault="00200BBD" w:rsidP="00352017">
            <w:pPr>
              <w:spacing w:line="276" w:lineRule="auto"/>
            </w:pPr>
            <w:r>
              <w:t>Finances</w:t>
            </w:r>
          </w:p>
        </w:tc>
        <w:tc>
          <w:tcPr>
            <w:tcW w:w="6884" w:type="dxa"/>
          </w:tcPr>
          <w:p w14:paraId="5B8C673D" w14:textId="6C7FCDEA" w:rsidR="00200BBD" w:rsidRPr="006D66DC" w:rsidRDefault="00345516" w:rsidP="00352017">
            <w:pPr>
              <w:spacing w:line="276" w:lineRule="auto"/>
            </w:pPr>
            <w:r w:rsidRPr="00345516">
              <w:t>This approach incurred costs from international shipping, cold-chain</w:t>
            </w:r>
            <w:r>
              <w:t xml:space="preserve"> </w:t>
            </w:r>
            <w:r w:rsidRPr="00345516">
              <w:t>solutions, insurance &amp; legal review. These costs were absorbed by inhouse</w:t>
            </w:r>
            <w:r>
              <w:t xml:space="preserve"> </w:t>
            </w:r>
            <w:r w:rsidRPr="00345516">
              <w:t>Sponsor team.</w:t>
            </w:r>
          </w:p>
        </w:tc>
      </w:tr>
      <w:tr w:rsidR="00345516" w:rsidRPr="004D3DA9" w14:paraId="10094E4A" w14:textId="77777777" w:rsidTr="002E61B5">
        <w:trPr>
          <w:trHeight w:val="567"/>
        </w:trPr>
        <w:tc>
          <w:tcPr>
            <w:tcW w:w="2112" w:type="dxa"/>
          </w:tcPr>
          <w:p w14:paraId="358F8FB2" w14:textId="3BAFD29A" w:rsidR="00345516" w:rsidRDefault="00345516" w:rsidP="00352017">
            <w:pPr>
              <w:spacing w:line="276" w:lineRule="auto"/>
            </w:pPr>
            <w:r>
              <w:t>Environmental impact</w:t>
            </w:r>
          </w:p>
        </w:tc>
        <w:tc>
          <w:tcPr>
            <w:tcW w:w="6884" w:type="dxa"/>
          </w:tcPr>
          <w:p w14:paraId="5F886EA3" w14:textId="789513EC" w:rsidR="00345516" w:rsidRPr="00345516" w:rsidRDefault="00DF2E06" w:rsidP="00352017">
            <w:pPr>
              <w:spacing w:line="276" w:lineRule="auto"/>
            </w:pPr>
            <w:r w:rsidRPr="00DF2E06">
              <w:t>Increased environmental impact due to international air freight and cold chain</w:t>
            </w:r>
            <w:r>
              <w:t xml:space="preserve"> </w:t>
            </w:r>
            <w:r w:rsidRPr="00DF2E06">
              <w:t>packaging. This was unavoidable as due to the trial randomisation &amp;</w:t>
            </w:r>
            <w:r>
              <w:t xml:space="preserve"> </w:t>
            </w:r>
            <w:r w:rsidRPr="00DF2E06">
              <w:t>blinding, it was not possible to source or dispense IP from a trial location in</w:t>
            </w:r>
            <w:r w:rsidR="00A9327D">
              <w:t xml:space="preserve"> </w:t>
            </w:r>
            <w:r w:rsidRPr="00DF2E06">
              <w:t>Canada.</w:t>
            </w:r>
          </w:p>
        </w:tc>
      </w:tr>
    </w:tbl>
    <w:p w14:paraId="1A5BDBC6" w14:textId="77777777" w:rsidR="00200BBD" w:rsidRDefault="00200BBD" w:rsidP="00352017">
      <w:pPr>
        <w:spacing w:line="276" w:lineRule="auto"/>
      </w:pPr>
    </w:p>
    <w:p w14:paraId="510B0722" w14:textId="77777777" w:rsidR="00200BBD" w:rsidRPr="00201379" w:rsidRDefault="00200BBD" w:rsidP="00352017">
      <w:pPr>
        <w:pStyle w:val="Heading2"/>
        <w:spacing w:line="276" w:lineRule="auto"/>
        <w:rPr>
          <w:sz w:val="36"/>
          <w:szCs w:val="24"/>
        </w:rPr>
      </w:pPr>
      <w:r w:rsidRPr="00201379">
        <w:rPr>
          <w:sz w:val="36"/>
          <w:szCs w:val="24"/>
        </w:rPr>
        <w:t>Overall thoughts</w:t>
      </w:r>
    </w:p>
    <w:p w14:paraId="14E87CA5" w14:textId="4632AEB7" w:rsidR="00DF2E06" w:rsidRPr="00DF2E06" w:rsidRDefault="00DF2E06" w:rsidP="00352017">
      <w:pPr>
        <w:spacing w:line="276" w:lineRule="auto"/>
      </w:pPr>
      <w:r w:rsidRPr="00DF2E06">
        <w:t>The flexibility of this approach supported protocol adherence, patient safety, and trial integrity, but</w:t>
      </w:r>
      <w:r>
        <w:t xml:space="preserve"> </w:t>
      </w:r>
      <w:r w:rsidRPr="00DF2E06">
        <w:t>required extensive coordination, customised documentation, and increased costs for the Sponsor.</w:t>
      </w:r>
    </w:p>
    <w:p w14:paraId="3F17A8EC" w14:textId="3CF070DC" w:rsidR="00DF2E06" w:rsidRPr="00DF2E06" w:rsidRDefault="00DF2E06" w:rsidP="00352017">
      <w:pPr>
        <w:spacing w:line="276" w:lineRule="auto"/>
      </w:pPr>
      <w:r w:rsidRPr="00DF2E06">
        <w:t>Initially, the requirements were unclear and there was no precedence, so considerable effort went</w:t>
      </w:r>
      <w:r>
        <w:t xml:space="preserve"> </w:t>
      </w:r>
      <w:r w:rsidRPr="00DF2E06">
        <w:t xml:space="preserve">into identifying what measures were required and could be completed and </w:t>
      </w:r>
      <w:r w:rsidRPr="00DF2E06">
        <w:lastRenderedPageBreak/>
        <w:t>gathering input from</w:t>
      </w:r>
      <w:r>
        <w:t xml:space="preserve"> </w:t>
      </w:r>
      <w:r w:rsidRPr="00DF2E06">
        <w:t>multiple stakeholders. Although this process was resource-intensive for the sponsor, it was not seen</w:t>
      </w:r>
      <w:r>
        <w:t xml:space="preserve"> </w:t>
      </w:r>
      <w:r w:rsidRPr="00DF2E06">
        <w:t>as a barrier due to the sponsor’s commitment to patient centricity - particularly in rare disease</w:t>
      </w:r>
      <w:r>
        <w:t xml:space="preserve"> </w:t>
      </w:r>
      <w:r w:rsidRPr="00DF2E06">
        <w:t>clinical trials, where every effort is made to meet individual patient needs.</w:t>
      </w:r>
    </w:p>
    <w:p w14:paraId="535B5978" w14:textId="636EAB5B" w:rsidR="005958D2" w:rsidRDefault="00DF2E06" w:rsidP="00352017">
      <w:pPr>
        <w:spacing w:line="276" w:lineRule="auto"/>
      </w:pPr>
      <w:r w:rsidRPr="00DF2E06">
        <w:t>In the future, starting with a detailed plan and early stakeholder engagement would help streamline</w:t>
      </w:r>
      <w:r>
        <w:t xml:space="preserve"> </w:t>
      </w:r>
      <w:r w:rsidRPr="00DF2E06">
        <w:t>the process and anticipate requirements. For others using this approach, it is recommended to</w:t>
      </w:r>
      <w:r>
        <w:t xml:space="preserve"> </w:t>
      </w:r>
      <w:r w:rsidRPr="00DF2E06">
        <w:t>ensure thorough preparation, clear communication among all parties, and a strong focus on patient centred</w:t>
      </w:r>
      <w:r>
        <w:t xml:space="preserve"> </w:t>
      </w:r>
      <w:r w:rsidRPr="00DF2E06">
        <w:t>solutions to continue to drive the best outcome.</w:t>
      </w:r>
    </w:p>
    <w:p w14:paraId="17980536" w14:textId="77777777" w:rsidR="00200BBD" w:rsidRDefault="00200BBD" w:rsidP="00352017">
      <w:pPr>
        <w:spacing w:line="276" w:lineRule="auto"/>
        <w:rPr>
          <w:rFonts w:asciiTheme="majorHAnsi" w:eastAsiaTheme="majorEastAsia" w:hAnsiTheme="majorHAnsi" w:cstheme="majorBidi"/>
          <w:b/>
          <w:sz w:val="56"/>
          <w:szCs w:val="40"/>
        </w:rPr>
      </w:pPr>
      <w:r>
        <w:br w:type="page"/>
      </w:r>
    </w:p>
    <w:p w14:paraId="1E74A712" w14:textId="6A236B30" w:rsidR="00200BBD" w:rsidRDefault="00200BBD" w:rsidP="00352017">
      <w:pPr>
        <w:pStyle w:val="Heading1"/>
        <w:spacing w:line="276" w:lineRule="auto"/>
      </w:pPr>
      <w:bookmarkStart w:id="4" w:name="_Toc230005680"/>
      <w:r>
        <w:lastRenderedPageBreak/>
        <w:t>Case Study 4:</w:t>
      </w:r>
      <w:r w:rsidR="00324DA4">
        <w:t xml:space="preserve"> Virtual and direct-to-participant IBS supplement trial</w:t>
      </w:r>
      <w:bookmarkEnd w:id="4"/>
    </w:p>
    <w:p w14:paraId="36A30A90" w14:textId="69CABEA5" w:rsidR="00200BBD" w:rsidRDefault="00200BBD" w:rsidP="00352017">
      <w:pPr>
        <w:spacing w:line="276" w:lineRule="auto"/>
      </w:pPr>
      <w:r>
        <w:t xml:space="preserve">Case study provided by: </w:t>
      </w:r>
      <w:r w:rsidR="00324DA4">
        <w:t>Central Pharmacy Logistics</w:t>
      </w:r>
    </w:p>
    <w:p w14:paraId="27D90A9C" w14:textId="02CC120F" w:rsidR="00200BBD" w:rsidRPr="004C40AE" w:rsidRDefault="00200BBD" w:rsidP="00352017">
      <w:pPr>
        <w:spacing w:line="276" w:lineRule="auto"/>
      </w:pPr>
      <w:r>
        <w:t xml:space="preserve">For more information contact: </w:t>
      </w:r>
      <w:r w:rsidR="00324DA4">
        <w:t>Rima Darwiche or Emily Bandiera</w:t>
      </w:r>
    </w:p>
    <w:p w14:paraId="4C78C369" w14:textId="77777777" w:rsidR="00200BBD" w:rsidRPr="00201379" w:rsidRDefault="00200BBD" w:rsidP="00352017">
      <w:pPr>
        <w:pStyle w:val="Heading2"/>
        <w:spacing w:line="276" w:lineRule="auto"/>
        <w:rPr>
          <w:sz w:val="36"/>
          <w:szCs w:val="24"/>
        </w:rPr>
      </w:pPr>
      <w:r w:rsidRPr="00201379">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53EBEE3B" w14:textId="77777777" w:rsidTr="002E61B5">
        <w:trPr>
          <w:trHeight w:val="567"/>
        </w:trPr>
        <w:tc>
          <w:tcPr>
            <w:tcW w:w="2112" w:type="dxa"/>
            <w:shd w:val="clear" w:color="auto" w:fill="E8E8E8" w:themeFill="background2"/>
          </w:tcPr>
          <w:p w14:paraId="4FED6A96"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621ED55B" w14:textId="77777777" w:rsidR="00200BBD" w:rsidRPr="00C20036" w:rsidRDefault="00200BBD" w:rsidP="00352017">
            <w:pPr>
              <w:spacing w:after="160" w:line="276" w:lineRule="auto"/>
              <w:rPr>
                <w:b/>
                <w:bCs/>
                <w:sz w:val="32"/>
                <w:szCs w:val="32"/>
              </w:rPr>
            </w:pPr>
            <w:r>
              <w:rPr>
                <w:b/>
                <w:bCs/>
                <w:sz w:val="32"/>
                <w:szCs w:val="32"/>
              </w:rPr>
              <w:t>Description of context</w:t>
            </w:r>
          </w:p>
        </w:tc>
      </w:tr>
      <w:tr w:rsidR="00200BBD" w:rsidRPr="004D3DA9" w14:paraId="3AB28D4C" w14:textId="77777777" w:rsidTr="002E61B5">
        <w:trPr>
          <w:trHeight w:val="567"/>
        </w:trPr>
        <w:tc>
          <w:tcPr>
            <w:tcW w:w="2112" w:type="dxa"/>
          </w:tcPr>
          <w:p w14:paraId="1D1F3609" w14:textId="77777777" w:rsidR="00200BBD" w:rsidRPr="00394D3A" w:rsidRDefault="00200BBD" w:rsidP="00352017">
            <w:pPr>
              <w:spacing w:after="160" w:line="276" w:lineRule="auto"/>
            </w:pPr>
            <w:r>
              <w:t>Description of trial aim</w:t>
            </w:r>
          </w:p>
        </w:tc>
        <w:tc>
          <w:tcPr>
            <w:tcW w:w="6884" w:type="dxa"/>
          </w:tcPr>
          <w:p w14:paraId="5168C0A0" w14:textId="403FA2B8" w:rsidR="00200BBD" w:rsidRPr="00394D3A" w:rsidRDefault="00501FFA" w:rsidP="00352017">
            <w:pPr>
              <w:spacing w:line="276" w:lineRule="auto"/>
            </w:pPr>
            <w:r w:rsidRPr="00501FFA">
              <w:t>Trial tested the safety and efficacy of a complementary investigational</w:t>
            </w:r>
            <w:r>
              <w:t xml:space="preserve"> </w:t>
            </w:r>
            <w:r w:rsidRPr="00501FFA">
              <w:t>medicine.</w:t>
            </w:r>
          </w:p>
        </w:tc>
      </w:tr>
      <w:tr w:rsidR="00200BBD" w:rsidRPr="004D3DA9" w14:paraId="62503560" w14:textId="77777777" w:rsidTr="002E61B5">
        <w:trPr>
          <w:trHeight w:val="567"/>
        </w:trPr>
        <w:tc>
          <w:tcPr>
            <w:tcW w:w="2112" w:type="dxa"/>
          </w:tcPr>
          <w:p w14:paraId="6EE367E9" w14:textId="77777777" w:rsidR="00200BBD" w:rsidRPr="00394D3A" w:rsidRDefault="00200BBD" w:rsidP="00352017">
            <w:pPr>
              <w:spacing w:after="160" w:line="276" w:lineRule="auto"/>
            </w:pPr>
            <w:r>
              <w:t>Trial size and location(s)</w:t>
            </w:r>
          </w:p>
        </w:tc>
        <w:tc>
          <w:tcPr>
            <w:tcW w:w="6884" w:type="dxa"/>
          </w:tcPr>
          <w:p w14:paraId="7D98286B" w14:textId="77777777" w:rsidR="00501FFA" w:rsidRDefault="00501FFA" w:rsidP="00352017">
            <w:pPr>
              <w:spacing w:line="276" w:lineRule="auto"/>
            </w:pPr>
            <w:r w:rsidRPr="00501FFA">
              <w:t>This Phase 2 trial aimed for a participant population size of 60-100</w:t>
            </w:r>
            <w:r>
              <w:t xml:space="preserve"> </w:t>
            </w:r>
            <w:r w:rsidRPr="00501FFA">
              <w:t>individuals, with 62 participants fully assessed in that stage. This number,</w:t>
            </w:r>
            <w:r>
              <w:t xml:space="preserve"> </w:t>
            </w:r>
            <w:r w:rsidRPr="00501FFA">
              <w:t>combined with Phase 1 participants, is expected to result in approximately</w:t>
            </w:r>
            <w:r>
              <w:t xml:space="preserve"> </w:t>
            </w:r>
            <w:r w:rsidRPr="00501FFA">
              <w:t>100 participants for the final analysis. There were 5 sites in total, with a</w:t>
            </w:r>
            <w:r>
              <w:t xml:space="preserve"> </w:t>
            </w:r>
            <w:r w:rsidRPr="00501FFA">
              <w:t>mixture of private and public hospital sites.</w:t>
            </w:r>
            <w:r>
              <w:t xml:space="preserve"> </w:t>
            </w:r>
          </w:p>
          <w:p w14:paraId="0F1C4A34" w14:textId="77777777" w:rsidR="00501FFA" w:rsidRDefault="00501FFA" w:rsidP="00352017">
            <w:pPr>
              <w:spacing w:line="276" w:lineRule="auto"/>
            </w:pPr>
          </w:p>
          <w:p w14:paraId="2516448A" w14:textId="515398DD" w:rsidR="00200BBD" w:rsidRPr="00394D3A" w:rsidRDefault="00501FFA" w:rsidP="00352017">
            <w:pPr>
              <w:spacing w:line="276" w:lineRule="auto"/>
            </w:pPr>
            <w:r w:rsidRPr="00501FFA">
              <w:t>Participants were primarily on the Australian East Coast and South Australia.</w:t>
            </w:r>
          </w:p>
        </w:tc>
      </w:tr>
      <w:tr w:rsidR="00200BBD" w:rsidRPr="004D3DA9" w14:paraId="68985D9E" w14:textId="77777777" w:rsidTr="002E61B5">
        <w:trPr>
          <w:trHeight w:val="567"/>
        </w:trPr>
        <w:tc>
          <w:tcPr>
            <w:tcW w:w="2112" w:type="dxa"/>
          </w:tcPr>
          <w:p w14:paraId="3A1C9C83" w14:textId="77777777" w:rsidR="00200BBD" w:rsidRDefault="00200BBD" w:rsidP="00352017">
            <w:pPr>
              <w:spacing w:line="276" w:lineRule="auto"/>
            </w:pPr>
            <w:r>
              <w:t>Sponsor</w:t>
            </w:r>
          </w:p>
        </w:tc>
        <w:tc>
          <w:tcPr>
            <w:tcW w:w="6884" w:type="dxa"/>
          </w:tcPr>
          <w:p w14:paraId="76AD11FF" w14:textId="7BA0E514" w:rsidR="00200BBD" w:rsidRPr="006D66DC" w:rsidRDefault="008F243D" w:rsidP="00352017">
            <w:pPr>
              <w:spacing w:line="276" w:lineRule="auto"/>
            </w:pPr>
            <w:r w:rsidRPr="008F243D">
              <w:t>The sponsor was a small Australian</w:t>
            </w:r>
            <w:r>
              <w:t xml:space="preserve"> </w:t>
            </w:r>
            <w:r w:rsidRPr="008F243D">
              <w:t>biotech/collaborative research group</w:t>
            </w:r>
            <w:r>
              <w:t>.</w:t>
            </w:r>
          </w:p>
        </w:tc>
      </w:tr>
      <w:tr w:rsidR="00200BBD" w:rsidRPr="004D3DA9" w14:paraId="3D237E99" w14:textId="77777777" w:rsidTr="002E61B5">
        <w:trPr>
          <w:trHeight w:val="567"/>
        </w:trPr>
        <w:tc>
          <w:tcPr>
            <w:tcW w:w="2112" w:type="dxa"/>
          </w:tcPr>
          <w:p w14:paraId="384C6B83" w14:textId="77777777" w:rsidR="00200BBD" w:rsidRDefault="00200BBD" w:rsidP="00352017">
            <w:pPr>
              <w:spacing w:line="276" w:lineRule="auto"/>
            </w:pPr>
            <w:r>
              <w:t>Why were flexible</w:t>
            </w:r>
          </w:p>
          <w:p w14:paraId="66C556C1" w14:textId="77777777" w:rsidR="00200BBD" w:rsidRDefault="00200BBD" w:rsidP="00352017">
            <w:pPr>
              <w:spacing w:line="276" w:lineRule="auto"/>
            </w:pPr>
            <w:r>
              <w:t>trial elements used?</w:t>
            </w:r>
          </w:p>
        </w:tc>
        <w:tc>
          <w:tcPr>
            <w:tcW w:w="6884" w:type="dxa"/>
          </w:tcPr>
          <w:p w14:paraId="3B9E25F8" w14:textId="1EC47980" w:rsidR="00200BBD" w:rsidRPr="006D66DC" w:rsidRDefault="008F243D" w:rsidP="00352017">
            <w:pPr>
              <w:spacing w:line="276" w:lineRule="auto"/>
            </w:pPr>
            <w:r w:rsidRPr="008F243D">
              <w:t xml:space="preserve">As the participant group are in the younger </w:t>
            </w:r>
            <w:proofErr w:type="gramStart"/>
            <w:r w:rsidRPr="008F243D">
              <w:t>18-65 year old</w:t>
            </w:r>
            <w:proofErr w:type="gramEnd"/>
            <w:r w:rsidRPr="008F243D">
              <w:t xml:space="preserve"> age bracket, a</w:t>
            </w:r>
            <w:r>
              <w:t xml:space="preserve"> </w:t>
            </w:r>
            <w:r w:rsidRPr="008F243D">
              <w:t>virtual approach was thought to be more compatible with their lifestyle and</w:t>
            </w:r>
            <w:r>
              <w:t xml:space="preserve"> </w:t>
            </w:r>
            <w:r w:rsidRPr="008F243D">
              <w:t>time constraints.</w:t>
            </w:r>
          </w:p>
        </w:tc>
      </w:tr>
      <w:tr w:rsidR="00200BBD" w:rsidRPr="004D3DA9" w14:paraId="22BF757F" w14:textId="77777777" w:rsidTr="002E61B5">
        <w:trPr>
          <w:trHeight w:val="567"/>
        </w:trPr>
        <w:tc>
          <w:tcPr>
            <w:tcW w:w="2112" w:type="dxa"/>
          </w:tcPr>
          <w:p w14:paraId="15BC95D1" w14:textId="77777777" w:rsidR="00200BBD" w:rsidRDefault="00200BBD" w:rsidP="00352017">
            <w:pPr>
              <w:spacing w:line="276" w:lineRule="auto"/>
            </w:pPr>
            <w:r>
              <w:t>What flexible</w:t>
            </w:r>
          </w:p>
          <w:p w14:paraId="7ECC2B6B" w14:textId="77777777" w:rsidR="00200BBD" w:rsidRDefault="00200BBD" w:rsidP="00352017">
            <w:pPr>
              <w:spacing w:line="276" w:lineRule="auto"/>
            </w:pPr>
            <w:r>
              <w:t>elements were used?</w:t>
            </w:r>
          </w:p>
        </w:tc>
        <w:tc>
          <w:tcPr>
            <w:tcW w:w="6884" w:type="dxa"/>
          </w:tcPr>
          <w:p w14:paraId="0CA1958B" w14:textId="3C589FD7" w:rsidR="00AB67B9" w:rsidRDefault="00AB67B9" w:rsidP="00352017">
            <w:pPr>
              <w:spacing w:line="276" w:lineRule="auto"/>
            </w:pPr>
            <w:r w:rsidRPr="00AB67B9">
              <w:t>Virtual and direct-to-patient elements were used to recruit participants and</w:t>
            </w:r>
            <w:r>
              <w:t xml:space="preserve"> </w:t>
            </w:r>
            <w:r w:rsidRPr="00AB67B9">
              <w:t>retain them in the trial.</w:t>
            </w:r>
            <w:r>
              <w:t xml:space="preserve"> </w:t>
            </w:r>
            <w:r w:rsidRPr="00AB67B9">
              <w:t>The trial used e-consent, and participants were screened by phone and by</w:t>
            </w:r>
            <w:r>
              <w:t xml:space="preserve"> </w:t>
            </w:r>
            <w:r w:rsidRPr="00AB67B9">
              <w:t>completing an at-home stool sample collection to determine eligibility. Test</w:t>
            </w:r>
            <w:r>
              <w:t xml:space="preserve"> </w:t>
            </w:r>
            <w:r w:rsidRPr="00AB67B9">
              <w:t>kits were mailed by participants to the diagnostic lab, who contacted the</w:t>
            </w:r>
            <w:r>
              <w:t xml:space="preserve"> </w:t>
            </w:r>
            <w:r w:rsidRPr="00AB67B9">
              <w:t>clinic with the results. The study coordinator then contacted Central</w:t>
            </w:r>
            <w:r>
              <w:t xml:space="preserve"> </w:t>
            </w:r>
            <w:r w:rsidRPr="00AB67B9">
              <w:t>Pharmacy Logistics (CPL, a supply chain company with a focus on direct-to</w:t>
            </w:r>
            <w:r>
              <w:t>-</w:t>
            </w:r>
            <w:r w:rsidRPr="00AB67B9">
              <w:t>patient</w:t>
            </w:r>
            <w:r>
              <w:t xml:space="preserve"> </w:t>
            </w:r>
            <w:r w:rsidRPr="00AB67B9">
              <w:t>model) with the randomisation details and CPL shipped the</w:t>
            </w:r>
            <w:r>
              <w:t xml:space="preserve"> </w:t>
            </w:r>
            <w:r w:rsidRPr="00AB67B9">
              <w:t>appropriate kit (including the investigational medical product, IMP) to</w:t>
            </w:r>
            <w:r>
              <w:t xml:space="preserve"> </w:t>
            </w:r>
            <w:r w:rsidRPr="00AB67B9">
              <w:t>participants</w:t>
            </w:r>
          </w:p>
          <w:p w14:paraId="187EB713" w14:textId="77777777" w:rsidR="00AB67B9" w:rsidRPr="00AB67B9" w:rsidRDefault="00AB67B9" w:rsidP="00352017">
            <w:pPr>
              <w:spacing w:line="276" w:lineRule="auto"/>
            </w:pPr>
          </w:p>
          <w:p w14:paraId="79AAA66C" w14:textId="30CA82DA" w:rsidR="00200BBD" w:rsidRPr="006D66DC" w:rsidRDefault="00AB67B9" w:rsidP="00352017">
            <w:pPr>
              <w:spacing w:line="276" w:lineRule="auto"/>
            </w:pPr>
            <w:r w:rsidRPr="00AB67B9">
              <w:t>When participants received the IMP, they were instructed to read a</w:t>
            </w:r>
            <w:r>
              <w:t xml:space="preserve"> </w:t>
            </w:r>
            <w:r w:rsidRPr="00AB67B9">
              <w:t>temperature card and to contact the study coordinator if the temperature</w:t>
            </w:r>
            <w:r>
              <w:t xml:space="preserve"> </w:t>
            </w:r>
            <w:r w:rsidRPr="00AB67B9">
              <w:t>storage conditions were unacceptable.</w:t>
            </w:r>
          </w:p>
        </w:tc>
      </w:tr>
      <w:tr w:rsidR="00200BBD" w:rsidRPr="004D3DA9" w14:paraId="34D4EA3A" w14:textId="77777777" w:rsidTr="002E61B5">
        <w:trPr>
          <w:trHeight w:val="567"/>
        </w:trPr>
        <w:tc>
          <w:tcPr>
            <w:tcW w:w="2112" w:type="dxa"/>
          </w:tcPr>
          <w:p w14:paraId="260B5125" w14:textId="77777777" w:rsidR="00200BBD" w:rsidRDefault="00200BBD" w:rsidP="00352017">
            <w:pPr>
              <w:spacing w:line="276" w:lineRule="auto"/>
            </w:pPr>
            <w:r>
              <w:lastRenderedPageBreak/>
              <w:t>How was flexibility</w:t>
            </w:r>
          </w:p>
          <w:p w14:paraId="1B34C146" w14:textId="77777777" w:rsidR="00200BBD" w:rsidRDefault="00200BBD" w:rsidP="00352017">
            <w:pPr>
              <w:spacing w:line="276" w:lineRule="auto"/>
            </w:pPr>
            <w:r>
              <w:t>added?</w:t>
            </w:r>
          </w:p>
        </w:tc>
        <w:tc>
          <w:tcPr>
            <w:tcW w:w="6884" w:type="dxa"/>
          </w:tcPr>
          <w:p w14:paraId="51E7632F" w14:textId="4E06DD9D" w:rsidR="00200BBD" w:rsidRPr="006D66DC" w:rsidRDefault="004C0C07" w:rsidP="00352017">
            <w:pPr>
              <w:spacing w:line="276" w:lineRule="auto"/>
            </w:pPr>
            <w:r w:rsidRPr="004C0C07">
              <w:t>These approaches were built into the protocol and used for all participants.</w:t>
            </w:r>
          </w:p>
        </w:tc>
      </w:tr>
    </w:tbl>
    <w:p w14:paraId="672A78FA" w14:textId="77777777" w:rsidR="00200BBD" w:rsidRPr="00201379" w:rsidRDefault="00200BBD" w:rsidP="00352017">
      <w:pPr>
        <w:pStyle w:val="Heading2"/>
        <w:spacing w:line="276" w:lineRule="auto"/>
        <w:rPr>
          <w:sz w:val="36"/>
          <w:szCs w:val="24"/>
        </w:rPr>
      </w:pPr>
      <w:r w:rsidRPr="00201379">
        <w:rPr>
          <w:sz w:val="36"/>
          <w:szCs w:val="24"/>
        </w:rPr>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3AD7AE37" w14:textId="77777777" w:rsidTr="002E61B5">
        <w:trPr>
          <w:trHeight w:val="567"/>
        </w:trPr>
        <w:tc>
          <w:tcPr>
            <w:tcW w:w="2112" w:type="dxa"/>
            <w:shd w:val="clear" w:color="auto" w:fill="E8E8E8" w:themeFill="background2"/>
          </w:tcPr>
          <w:p w14:paraId="636FFAB7"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59F22DE6" w14:textId="77777777" w:rsidR="00200BBD" w:rsidRPr="00C20036" w:rsidRDefault="00200BBD" w:rsidP="00352017">
            <w:pPr>
              <w:spacing w:after="160" w:line="276" w:lineRule="auto"/>
              <w:rPr>
                <w:b/>
                <w:bCs/>
                <w:sz w:val="32"/>
                <w:szCs w:val="32"/>
              </w:rPr>
            </w:pPr>
            <w:r>
              <w:rPr>
                <w:b/>
                <w:bCs/>
                <w:sz w:val="32"/>
                <w:szCs w:val="32"/>
              </w:rPr>
              <w:t>Description of impact</w:t>
            </w:r>
          </w:p>
        </w:tc>
      </w:tr>
      <w:tr w:rsidR="00200BBD" w:rsidRPr="004D3DA9" w14:paraId="4EF571EA" w14:textId="77777777" w:rsidTr="002E61B5">
        <w:trPr>
          <w:trHeight w:val="567"/>
        </w:trPr>
        <w:tc>
          <w:tcPr>
            <w:tcW w:w="2112" w:type="dxa"/>
          </w:tcPr>
          <w:p w14:paraId="7F434FC4" w14:textId="77777777" w:rsidR="00200BBD" w:rsidRPr="00394D3A" w:rsidRDefault="00200BBD" w:rsidP="00352017">
            <w:pPr>
              <w:spacing w:after="160" w:line="276" w:lineRule="auto"/>
            </w:pPr>
            <w:r>
              <w:t>Data collection</w:t>
            </w:r>
          </w:p>
        </w:tc>
        <w:tc>
          <w:tcPr>
            <w:tcW w:w="6884" w:type="dxa"/>
          </w:tcPr>
          <w:p w14:paraId="5457FF99" w14:textId="0521E86F" w:rsidR="00200BBD" w:rsidRPr="00394D3A" w:rsidRDefault="004C0C07" w:rsidP="00352017">
            <w:pPr>
              <w:spacing w:line="276" w:lineRule="auto"/>
            </w:pPr>
            <w:r w:rsidRPr="004C0C07">
              <w:t>We were able to collect more data quickly as this study had a fast rate of</w:t>
            </w:r>
            <w:r>
              <w:t xml:space="preserve"> </w:t>
            </w:r>
            <w:r w:rsidRPr="004C0C07">
              <w:t>recruitment.</w:t>
            </w:r>
          </w:p>
        </w:tc>
      </w:tr>
      <w:tr w:rsidR="00200BBD" w:rsidRPr="004D3DA9" w14:paraId="2CF003FD" w14:textId="77777777" w:rsidTr="002E61B5">
        <w:trPr>
          <w:trHeight w:val="567"/>
        </w:trPr>
        <w:tc>
          <w:tcPr>
            <w:tcW w:w="2112" w:type="dxa"/>
          </w:tcPr>
          <w:p w14:paraId="391FF5F9" w14:textId="77777777" w:rsidR="00200BBD" w:rsidRPr="00394D3A" w:rsidRDefault="00200BBD" w:rsidP="00352017">
            <w:pPr>
              <w:spacing w:after="160" w:line="276" w:lineRule="auto"/>
            </w:pPr>
            <w:r>
              <w:t>Recruitment and retention</w:t>
            </w:r>
          </w:p>
        </w:tc>
        <w:tc>
          <w:tcPr>
            <w:tcW w:w="6884" w:type="dxa"/>
          </w:tcPr>
          <w:p w14:paraId="1A2C34BD" w14:textId="2BCDCC70" w:rsidR="00200BBD" w:rsidRPr="00394D3A" w:rsidRDefault="004C0C07" w:rsidP="00352017">
            <w:pPr>
              <w:spacing w:line="276" w:lineRule="auto"/>
            </w:pPr>
            <w:r w:rsidRPr="004C0C07">
              <w:t>Retention rate was high at over 90% when industry standard for a</w:t>
            </w:r>
            <w:r>
              <w:t xml:space="preserve"> </w:t>
            </w:r>
            <w:r w:rsidRPr="004C0C07">
              <w:t>traditional clinical trial is 50% retention.</w:t>
            </w:r>
          </w:p>
        </w:tc>
      </w:tr>
      <w:tr w:rsidR="00200BBD" w:rsidRPr="004D3DA9" w14:paraId="36793C3D" w14:textId="77777777" w:rsidTr="002E61B5">
        <w:trPr>
          <w:trHeight w:val="567"/>
        </w:trPr>
        <w:tc>
          <w:tcPr>
            <w:tcW w:w="2112" w:type="dxa"/>
          </w:tcPr>
          <w:p w14:paraId="0ED5C5C6" w14:textId="77777777" w:rsidR="00200BBD" w:rsidRDefault="00200BBD" w:rsidP="00352017">
            <w:pPr>
              <w:spacing w:line="276" w:lineRule="auto"/>
            </w:pPr>
            <w:r>
              <w:t>Review process</w:t>
            </w:r>
          </w:p>
        </w:tc>
        <w:tc>
          <w:tcPr>
            <w:tcW w:w="6884" w:type="dxa"/>
          </w:tcPr>
          <w:p w14:paraId="3A10EDA2" w14:textId="6A089620" w:rsidR="00200BBD" w:rsidRPr="006D66DC" w:rsidRDefault="003F156E" w:rsidP="00352017">
            <w:pPr>
              <w:spacing w:line="276" w:lineRule="auto"/>
            </w:pPr>
            <w:r w:rsidRPr="003F156E">
              <w:t>The Research Governance Office and HREC were supportive of the virtual</w:t>
            </w:r>
            <w:r>
              <w:t xml:space="preserve"> </w:t>
            </w:r>
            <w:r w:rsidRPr="003F156E">
              <w:t>trial design, perhaps because it was a supplement rather than a potent</w:t>
            </w:r>
            <w:r>
              <w:t xml:space="preserve"> </w:t>
            </w:r>
            <w:r w:rsidRPr="003F156E">
              <w:t>chemical.</w:t>
            </w:r>
          </w:p>
        </w:tc>
      </w:tr>
      <w:tr w:rsidR="00200BBD" w:rsidRPr="004D3DA9" w14:paraId="64A34AF3" w14:textId="77777777" w:rsidTr="002E61B5">
        <w:trPr>
          <w:trHeight w:val="567"/>
        </w:trPr>
        <w:tc>
          <w:tcPr>
            <w:tcW w:w="2112" w:type="dxa"/>
          </w:tcPr>
          <w:p w14:paraId="6408C893" w14:textId="77777777" w:rsidR="00200BBD" w:rsidRDefault="00200BBD" w:rsidP="00352017">
            <w:pPr>
              <w:spacing w:line="276" w:lineRule="auto"/>
            </w:pPr>
            <w:r>
              <w:t>Contracts</w:t>
            </w:r>
          </w:p>
        </w:tc>
        <w:tc>
          <w:tcPr>
            <w:tcW w:w="6884" w:type="dxa"/>
          </w:tcPr>
          <w:p w14:paraId="40039621" w14:textId="0E926311" w:rsidR="00200BBD" w:rsidRPr="006D66DC" w:rsidRDefault="003F156E" w:rsidP="00352017">
            <w:pPr>
              <w:spacing w:line="276" w:lineRule="auto"/>
            </w:pPr>
            <w:r w:rsidRPr="003F156E">
              <w:t>The central pharmacy used their regular shipping contracts with a courier</w:t>
            </w:r>
            <w:r>
              <w:t xml:space="preserve"> </w:t>
            </w:r>
            <w:r w:rsidRPr="003F156E">
              <w:t>who has SOPs on direct-to-patient delivery, with the sites and principal</w:t>
            </w:r>
            <w:r>
              <w:t xml:space="preserve"> </w:t>
            </w:r>
            <w:r w:rsidRPr="003F156E">
              <w:t>investigators maintaining overall responsibility. Delegation logs were</w:t>
            </w:r>
            <w:r>
              <w:t xml:space="preserve"> </w:t>
            </w:r>
            <w:r w:rsidRPr="003F156E">
              <w:t xml:space="preserve">prepared at sites for IMP to be shipped to participants. ePROs and other </w:t>
            </w:r>
            <w:proofErr w:type="spellStart"/>
            <w:r w:rsidRPr="003F156E">
              <w:t>etechnologies</w:t>
            </w:r>
            <w:proofErr w:type="spellEnd"/>
            <w:r>
              <w:t xml:space="preserve"> </w:t>
            </w:r>
            <w:r w:rsidRPr="003F156E">
              <w:t>were used to ensure informed consent, randomisation</w:t>
            </w:r>
            <w:r>
              <w:t xml:space="preserve"> </w:t>
            </w:r>
            <w:r w:rsidRPr="003F156E">
              <w:t xml:space="preserve">appropriately and participant privacy </w:t>
            </w:r>
            <w:proofErr w:type="gramStart"/>
            <w:r w:rsidRPr="003F156E">
              <w:t>at all times</w:t>
            </w:r>
            <w:proofErr w:type="gramEnd"/>
            <w:r w:rsidRPr="003F156E">
              <w:t>.</w:t>
            </w:r>
          </w:p>
        </w:tc>
      </w:tr>
      <w:tr w:rsidR="00200BBD" w:rsidRPr="004D3DA9" w14:paraId="5A3FFFC8" w14:textId="77777777" w:rsidTr="002E61B5">
        <w:trPr>
          <w:trHeight w:val="567"/>
        </w:trPr>
        <w:tc>
          <w:tcPr>
            <w:tcW w:w="2112" w:type="dxa"/>
          </w:tcPr>
          <w:p w14:paraId="677F39BF" w14:textId="77777777" w:rsidR="00200BBD" w:rsidRDefault="00200BBD" w:rsidP="00352017">
            <w:pPr>
              <w:spacing w:line="276" w:lineRule="auto"/>
            </w:pPr>
            <w:r>
              <w:t>Finances</w:t>
            </w:r>
          </w:p>
        </w:tc>
        <w:tc>
          <w:tcPr>
            <w:tcW w:w="6884" w:type="dxa"/>
          </w:tcPr>
          <w:p w14:paraId="16D73CB1" w14:textId="2A00B189" w:rsidR="00200BBD" w:rsidRPr="006D66DC" w:rsidRDefault="00FF7401" w:rsidP="00352017">
            <w:pPr>
              <w:spacing w:line="276" w:lineRule="auto"/>
            </w:pPr>
            <w:r w:rsidRPr="00FF7401">
              <w:t>For this trial it is difficult to know what the financial cost of direct-to-patient</w:t>
            </w:r>
            <w:r>
              <w:t xml:space="preserve"> </w:t>
            </w:r>
            <w:r w:rsidRPr="00FF7401">
              <w:t>IMP management would have been as it was done this way from the</w:t>
            </w:r>
            <w:r>
              <w:t xml:space="preserve"> </w:t>
            </w:r>
            <w:r w:rsidRPr="00FF7401">
              <w:t>beginning, however it is expected to have positively impacted the budget as</w:t>
            </w:r>
            <w:r>
              <w:t xml:space="preserve"> </w:t>
            </w:r>
            <w:r w:rsidRPr="00FF7401">
              <w:t>there was less drop out and retention was high, hence more data in a shorter</w:t>
            </w:r>
            <w:r>
              <w:t xml:space="preserve"> </w:t>
            </w:r>
            <w:r w:rsidRPr="00FF7401">
              <w:t>time.</w:t>
            </w:r>
          </w:p>
        </w:tc>
      </w:tr>
    </w:tbl>
    <w:p w14:paraId="64447F4F" w14:textId="77777777" w:rsidR="00200BBD" w:rsidRDefault="00200BBD" w:rsidP="00352017">
      <w:pPr>
        <w:spacing w:line="276" w:lineRule="auto"/>
      </w:pPr>
    </w:p>
    <w:p w14:paraId="32D4E9DE" w14:textId="77777777" w:rsidR="00352017" w:rsidRDefault="00200BBD" w:rsidP="00352017">
      <w:pPr>
        <w:pStyle w:val="Heading2"/>
        <w:spacing w:line="276" w:lineRule="auto"/>
        <w:rPr>
          <w:sz w:val="36"/>
          <w:szCs w:val="24"/>
        </w:rPr>
      </w:pPr>
      <w:r w:rsidRPr="00201379">
        <w:rPr>
          <w:sz w:val="36"/>
          <w:szCs w:val="24"/>
        </w:rPr>
        <w:t>Overall thoughts</w:t>
      </w:r>
    </w:p>
    <w:p w14:paraId="6AC68B8A" w14:textId="7E7144DC" w:rsidR="00FF7401" w:rsidRPr="00352017" w:rsidRDefault="00FF7401" w:rsidP="00352017">
      <w:pPr>
        <w:rPr>
          <w:sz w:val="36"/>
        </w:rPr>
      </w:pPr>
      <w:r w:rsidRPr="00FF7401">
        <w:t>The key strength of this approach was the low withdrawal rate. At end of the trial this was about 7-8%</w:t>
      </w:r>
      <w:r>
        <w:t xml:space="preserve"> </w:t>
      </w:r>
      <w:r w:rsidRPr="00FF7401">
        <w:t>or even less when other parameters are applied, with most withdrawal by placebo participants.</w:t>
      </w:r>
    </w:p>
    <w:p w14:paraId="5DE40C5D" w14:textId="77777777" w:rsidR="00FF7401" w:rsidRPr="00FF7401" w:rsidRDefault="00FF7401" w:rsidP="00352017">
      <w:pPr>
        <w:spacing w:line="276" w:lineRule="auto"/>
      </w:pPr>
      <w:r w:rsidRPr="00FF7401">
        <w:t>Current industry standard for withdrawal from a “traditional” trial are 50% on average.</w:t>
      </w:r>
    </w:p>
    <w:p w14:paraId="2B2146BA" w14:textId="6D4C68DB" w:rsidR="00200BBD" w:rsidRPr="00FF7401" w:rsidRDefault="00FF7401" w:rsidP="00352017">
      <w:pPr>
        <w:spacing w:line="276" w:lineRule="auto"/>
      </w:pPr>
      <w:r w:rsidRPr="00FF7401">
        <w:lastRenderedPageBreak/>
        <w:t>This trial design worked well but not suitable for every IMP. The low-risk, oral nature of the IMP and</w:t>
      </w:r>
      <w:r>
        <w:t xml:space="preserve"> </w:t>
      </w:r>
      <w:r w:rsidRPr="00FF7401">
        <w:t>its temperature stability made it appropriate for this trial.</w:t>
      </w:r>
    </w:p>
    <w:p w14:paraId="04B6176E" w14:textId="58AD8497" w:rsidR="00200BBD" w:rsidRDefault="00200BBD" w:rsidP="00352017">
      <w:pPr>
        <w:spacing w:line="276" w:lineRule="auto"/>
      </w:pPr>
      <w:r>
        <w:br w:type="page"/>
      </w:r>
    </w:p>
    <w:p w14:paraId="2A0ED763" w14:textId="368EEDCF" w:rsidR="00200BBD" w:rsidRDefault="00200BBD" w:rsidP="00352017">
      <w:pPr>
        <w:pStyle w:val="Heading1"/>
        <w:spacing w:line="276" w:lineRule="auto"/>
      </w:pPr>
      <w:bookmarkStart w:id="5" w:name="_Toc230005681"/>
      <w:r>
        <w:lastRenderedPageBreak/>
        <w:t>Case Study 5:</w:t>
      </w:r>
      <w:r w:rsidR="004C26B3">
        <w:t xml:space="preserve"> START Trial prescribing process</w:t>
      </w:r>
      <w:bookmarkEnd w:id="5"/>
    </w:p>
    <w:p w14:paraId="7566AB56" w14:textId="7F26E84E" w:rsidR="00200BBD" w:rsidRDefault="00200BBD" w:rsidP="00352017">
      <w:pPr>
        <w:spacing w:line="276" w:lineRule="auto"/>
      </w:pPr>
      <w:r>
        <w:t xml:space="preserve">Case study provided by: </w:t>
      </w:r>
      <w:r w:rsidR="004C26B3">
        <w:t>The George Institute</w:t>
      </w:r>
    </w:p>
    <w:p w14:paraId="7EC7FFF8" w14:textId="595BE7C0" w:rsidR="00200BBD" w:rsidRPr="004C40AE" w:rsidRDefault="00200BBD" w:rsidP="00352017">
      <w:pPr>
        <w:spacing w:line="276" w:lineRule="auto"/>
      </w:pPr>
      <w:r>
        <w:t xml:space="preserve">For more information contact: </w:t>
      </w:r>
      <w:r w:rsidR="004C26B3">
        <w:t>Helen Monaghan</w:t>
      </w:r>
    </w:p>
    <w:p w14:paraId="59B3C581" w14:textId="77777777" w:rsidR="00200BBD" w:rsidRPr="00201379" w:rsidRDefault="00200BBD" w:rsidP="00352017">
      <w:pPr>
        <w:pStyle w:val="Heading2"/>
        <w:spacing w:line="276" w:lineRule="auto"/>
        <w:rPr>
          <w:sz w:val="36"/>
          <w:szCs w:val="24"/>
        </w:rPr>
      </w:pPr>
      <w:r w:rsidRPr="00201379">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6BFD72E3" w14:textId="77777777" w:rsidTr="002E61B5">
        <w:trPr>
          <w:trHeight w:val="567"/>
        </w:trPr>
        <w:tc>
          <w:tcPr>
            <w:tcW w:w="2112" w:type="dxa"/>
            <w:shd w:val="clear" w:color="auto" w:fill="E8E8E8" w:themeFill="background2"/>
          </w:tcPr>
          <w:p w14:paraId="60ACBBCE"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5DADB4C9" w14:textId="77777777" w:rsidR="00200BBD" w:rsidRPr="00C20036" w:rsidRDefault="00200BBD" w:rsidP="00352017">
            <w:pPr>
              <w:spacing w:after="160" w:line="276" w:lineRule="auto"/>
              <w:rPr>
                <w:b/>
                <w:bCs/>
                <w:sz w:val="32"/>
                <w:szCs w:val="32"/>
              </w:rPr>
            </w:pPr>
            <w:r>
              <w:rPr>
                <w:b/>
                <w:bCs/>
                <w:sz w:val="32"/>
                <w:szCs w:val="32"/>
              </w:rPr>
              <w:t>Description of context</w:t>
            </w:r>
          </w:p>
        </w:tc>
      </w:tr>
      <w:tr w:rsidR="00200BBD" w:rsidRPr="004D3DA9" w14:paraId="05A40797" w14:textId="77777777" w:rsidTr="002E61B5">
        <w:trPr>
          <w:trHeight w:val="567"/>
        </w:trPr>
        <w:tc>
          <w:tcPr>
            <w:tcW w:w="2112" w:type="dxa"/>
          </w:tcPr>
          <w:p w14:paraId="752D4F92" w14:textId="77777777" w:rsidR="00200BBD" w:rsidRPr="00394D3A" w:rsidRDefault="00200BBD" w:rsidP="00352017">
            <w:pPr>
              <w:spacing w:after="160" w:line="276" w:lineRule="auto"/>
            </w:pPr>
            <w:r>
              <w:t>Description of trial aim</w:t>
            </w:r>
          </w:p>
        </w:tc>
        <w:tc>
          <w:tcPr>
            <w:tcW w:w="6884" w:type="dxa"/>
          </w:tcPr>
          <w:p w14:paraId="402C85D1" w14:textId="13B8A39B" w:rsidR="00556F22" w:rsidRPr="00556F22" w:rsidRDefault="00556F22" w:rsidP="00352017">
            <w:pPr>
              <w:spacing w:line="276" w:lineRule="auto"/>
            </w:pPr>
            <w:r w:rsidRPr="00556F22">
              <w:t xml:space="preserve">The </w:t>
            </w:r>
            <w:r w:rsidRPr="00556F22">
              <w:rPr>
                <w:b/>
                <w:bCs/>
              </w:rPr>
              <w:t>S</w:t>
            </w:r>
            <w:r w:rsidRPr="00556F22">
              <w:t>GL</w:t>
            </w:r>
            <w:r w:rsidRPr="00556F22">
              <w:rPr>
                <w:b/>
                <w:bCs/>
              </w:rPr>
              <w:t>T</w:t>
            </w:r>
            <w:r w:rsidRPr="00556F22">
              <w:t xml:space="preserve">2 inhibitors </w:t>
            </w:r>
            <w:proofErr w:type="gramStart"/>
            <w:r w:rsidRPr="00556F22">
              <w:rPr>
                <w:b/>
                <w:bCs/>
              </w:rPr>
              <w:t>A</w:t>
            </w:r>
            <w:r w:rsidRPr="00556F22">
              <w:t>s</w:t>
            </w:r>
            <w:proofErr w:type="gramEnd"/>
            <w:r w:rsidRPr="00556F22">
              <w:t xml:space="preserve"> first line therapy to prevent </w:t>
            </w:r>
            <w:r w:rsidRPr="00556F22">
              <w:rPr>
                <w:b/>
                <w:bCs/>
              </w:rPr>
              <w:t>R</w:t>
            </w:r>
            <w:r w:rsidRPr="00556F22">
              <w:t xml:space="preserve">enal decline in </w:t>
            </w:r>
            <w:r w:rsidRPr="00556F22">
              <w:rPr>
                <w:b/>
                <w:bCs/>
              </w:rPr>
              <w:t>T</w:t>
            </w:r>
            <w:r w:rsidRPr="00556F22">
              <w:t>ype 2</w:t>
            </w:r>
            <w:r>
              <w:t xml:space="preserve"> </w:t>
            </w:r>
            <w:r w:rsidRPr="00556F22">
              <w:t>diabetes (START) trial is a multi-centre, double blinded, 1:1 randomised trial.</w:t>
            </w:r>
          </w:p>
          <w:p w14:paraId="2498389B" w14:textId="77777777" w:rsidR="00556F22" w:rsidRDefault="00556F22" w:rsidP="00352017">
            <w:pPr>
              <w:spacing w:line="276" w:lineRule="auto"/>
            </w:pPr>
          </w:p>
          <w:p w14:paraId="66527D76" w14:textId="564B5F6A" w:rsidR="00200BBD" w:rsidRPr="00394D3A" w:rsidRDefault="00556F22" w:rsidP="00352017">
            <w:pPr>
              <w:spacing w:line="276" w:lineRule="auto"/>
            </w:pPr>
            <w:r w:rsidRPr="00556F22">
              <w:t>The aim is to evaluate the comparative effects of the SGLT2 inhibitor</w:t>
            </w:r>
            <w:r>
              <w:t xml:space="preserve"> </w:t>
            </w:r>
            <w:r w:rsidRPr="00556F22">
              <w:t>dapagliflozin compared to metformin on annual decline in eGFR when used</w:t>
            </w:r>
          </w:p>
        </w:tc>
      </w:tr>
      <w:tr w:rsidR="00200BBD" w:rsidRPr="004D3DA9" w14:paraId="7E70D757" w14:textId="77777777" w:rsidTr="002E61B5">
        <w:trPr>
          <w:trHeight w:val="567"/>
        </w:trPr>
        <w:tc>
          <w:tcPr>
            <w:tcW w:w="2112" w:type="dxa"/>
          </w:tcPr>
          <w:p w14:paraId="00C3D8AB" w14:textId="77777777" w:rsidR="00200BBD" w:rsidRPr="00394D3A" w:rsidRDefault="00200BBD" w:rsidP="00352017">
            <w:pPr>
              <w:spacing w:after="160" w:line="276" w:lineRule="auto"/>
            </w:pPr>
            <w:r>
              <w:t>Trial size and location(s)</w:t>
            </w:r>
          </w:p>
        </w:tc>
        <w:tc>
          <w:tcPr>
            <w:tcW w:w="6884" w:type="dxa"/>
          </w:tcPr>
          <w:p w14:paraId="12AFAD55" w14:textId="77777777" w:rsidR="00962D3C" w:rsidRDefault="00556F22" w:rsidP="00352017">
            <w:pPr>
              <w:spacing w:line="276" w:lineRule="auto"/>
            </w:pPr>
            <w:r w:rsidRPr="00556F22">
              <w:t>500 participants across Australia and Sri Lanka</w:t>
            </w:r>
            <w:r w:rsidR="00962D3C">
              <w:t>.</w:t>
            </w:r>
          </w:p>
          <w:p w14:paraId="745BBD0F" w14:textId="11E0C687" w:rsidR="00200BBD" w:rsidRPr="00394D3A" w:rsidRDefault="00962D3C" w:rsidP="00352017">
            <w:pPr>
              <w:spacing w:line="276" w:lineRule="auto"/>
            </w:pPr>
            <w:r>
              <w:t>I</w:t>
            </w:r>
            <w:r w:rsidR="00556F22" w:rsidRPr="00556F22">
              <w:t>n Australia, sites were GP practices across NSW, QLD and VIC. In Sri Lanka</w:t>
            </w:r>
            <w:r w:rsidR="00520806">
              <w:t xml:space="preserve"> </w:t>
            </w:r>
            <w:r w:rsidR="00520806" w:rsidRPr="00520806">
              <w:t>the trial used hospital sites.</w:t>
            </w:r>
          </w:p>
        </w:tc>
      </w:tr>
      <w:tr w:rsidR="00200BBD" w:rsidRPr="004D3DA9" w14:paraId="764B730D" w14:textId="77777777" w:rsidTr="002E61B5">
        <w:trPr>
          <w:trHeight w:val="567"/>
        </w:trPr>
        <w:tc>
          <w:tcPr>
            <w:tcW w:w="2112" w:type="dxa"/>
          </w:tcPr>
          <w:p w14:paraId="4A0229C1" w14:textId="77777777" w:rsidR="00200BBD" w:rsidRDefault="00200BBD" w:rsidP="00352017">
            <w:pPr>
              <w:spacing w:line="276" w:lineRule="auto"/>
            </w:pPr>
            <w:r>
              <w:t>Sponsor</w:t>
            </w:r>
          </w:p>
        </w:tc>
        <w:tc>
          <w:tcPr>
            <w:tcW w:w="6884" w:type="dxa"/>
          </w:tcPr>
          <w:p w14:paraId="5008A269" w14:textId="780564B8" w:rsidR="00200BBD" w:rsidRPr="006D66DC" w:rsidRDefault="00962D3C" w:rsidP="00352017">
            <w:pPr>
              <w:spacing w:line="276" w:lineRule="auto"/>
            </w:pPr>
            <w:r w:rsidRPr="00962D3C">
              <w:t>The Sponsor is The George Institute for Global Health, a multinational not for</w:t>
            </w:r>
            <w:r>
              <w:t xml:space="preserve"> </w:t>
            </w:r>
            <w:r w:rsidRPr="00962D3C">
              <w:t>profit clinical research institute.</w:t>
            </w:r>
          </w:p>
        </w:tc>
      </w:tr>
      <w:tr w:rsidR="00200BBD" w:rsidRPr="004D3DA9" w14:paraId="29820774" w14:textId="77777777" w:rsidTr="002E61B5">
        <w:trPr>
          <w:trHeight w:val="567"/>
        </w:trPr>
        <w:tc>
          <w:tcPr>
            <w:tcW w:w="2112" w:type="dxa"/>
          </w:tcPr>
          <w:p w14:paraId="4789C2EB" w14:textId="77777777" w:rsidR="00200BBD" w:rsidRDefault="00200BBD" w:rsidP="00352017">
            <w:pPr>
              <w:spacing w:line="276" w:lineRule="auto"/>
            </w:pPr>
            <w:r>
              <w:t>Why were flexible</w:t>
            </w:r>
          </w:p>
          <w:p w14:paraId="0B077B54" w14:textId="77777777" w:rsidR="00200BBD" w:rsidRDefault="00200BBD" w:rsidP="00352017">
            <w:pPr>
              <w:spacing w:line="276" w:lineRule="auto"/>
            </w:pPr>
            <w:r>
              <w:t>trial elements used?</w:t>
            </w:r>
          </w:p>
        </w:tc>
        <w:tc>
          <w:tcPr>
            <w:tcW w:w="6884" w:type="dxa"/>
          </w:tcPr>
          <w:p w14:paraId="391303B5" w14:textId="39126606" w:rsidR="00200BBD" w:rsidRPr="006D66DC" w:rsidRDefault="006C4F6A" w:rsidP="00352017">
            <w:pPr>
              <w:spacing w:line="276" w:lineRule="auto"/>
            </w:pPr>
            <w:r w:rsidRPr="006C4F6A">
              <w:t xml:space="preserve">The study design involved the direct shipping of study drug from </w:t>
            </w:r>
            <w:proofErr w:type="spellStart"/>
            <w:r w:rsidRPr="006C4F6A">
              <w:t>Syntro</w:t>
            </w:r>
            <w:proofErr w:type="spellEnd"/>
            <w:r w:rsidRPr="006C4F6A">
              <w:t xml:space="preserve"> (a global investigational medical product (IMP) management company) to participant’s homes, so a solution had to be found to get signed prescriptions sent to the </w:t>
            </w:r>
            <w:proofErr w:type="spellStart"/>
            <w:r w:rsidRPr="006C4F6A">
              <w:t>Syntro</w:t>
            </w:r>
            <w:proofErr w:type="spellEnd"/>
            <w:r w:rsidRPr="006C4F6A">
              <w:t xml:space="preserve"> Pharmacy to enable the despatch of trial medication.</w:t>
            </w:r>
          </w:p>
        </w:tc>
      </w:tr>
      <w:tr w:rsidR="00200BBD" w:rsidRPr="004D3DA9" w14:paraId="4E8D3FA5" w14:textId="77777777" w:rsidTr="002E61B5">
        <w:trPr>
          <w:trHeight w:val="567"/>
        </w:trPr>
        <w:tc>
          <w:tcPr>
            <w:tcW w:w="2112" w:type="dxa"/>
          </w:tcPr>
          <w:p w14:paraId="7C64B8AA" w14:textId="77777777" w:rsidR="00200BBD" w:rsidRDefault="00200BBD" w:rsidP="00352017">
            <w:pPr>
              <w:spacing w:line="276" w:lineRule="auto"/>
            </w:pPr>
            <w:r>
              <w:t>What flexible</w:t>
            </w:r>
          </w:p>
          <w:p w14:paraId="3F0D558F" w14:textId="77777777" w:rsidR="00200BBD" w:rsidRDefault="00200BBD" w:rsidP="00352017">
            <w:pPr>
              <w:spacing w:line="276" w:lineRule="auto"/>
            </w:pPr>
            <w:r>
              <w:t>elements were used?</w:t>
            </w:r>
          </w:p>
        </w:tc>
        <w:tc>
          <w:tcPr>
            <w:tcW w:w="6884" w:type="dxa"/>
          </w:tcPr>
          <w:p w14:paraId="20C2189B" w14:textId="7C79DC7B" w:rsidR="00242B13" w:rsidRPr="00242B13" w:rsidRDefault="00242B13" w:rsidP="00352017">
            <w:pPr>
              <w:spacing w:line="276" w:lineRule="auto"/>
            </w:pPr>
            <w:r w:rsidRPr="00242B13">
              <w:t>The George Institute is acting as the site (as well as being the Sponsor and</w:t>
            </w:r>
            <w:r>
              <w:t xml:space="preserve"> </w:t>
            </w:r>
            <w:r w:rsidRPr="00242B13">
              <w:t xml:space="preserve">trial coordinating centre) for this </w:t>
            </w:r>
            <w:proofErr w:type="gramStart"/>
            <w:r w:rsidRPr="00242B13">
              <w:t>trial, and</w:t>
            </w:r>
            <w:proofErr w:type="gramEnd"/>
            <w:r w:rsidRPr="00242B13">
              <w:t xml:space="preserve"> had to ensure that scripts for trial</w:t>
            </w:r>
            <w:r>
              <w:t xml:space="preserve"> </w:t>
            </w:r>
            <w:r w:rsidRPr="00242B13">
              <w:t xml:space="preserve">medication were signed by qualified physicians prior to being sent to </w:t>
            </w:r>
            <w:proofErr w:type="spellStart"/>
            <w:r w:rsidRPr="00242B13">
              <w:t>Syntro</w:t>
            </w:r>
            <w:proofErr w:type="spellEnd"/>
            <w:r>
              <w:t xml:space="preserve"> </w:t>
            </w:r>
            <w:r w:rsidRPr="00242B13">
              <w:t>Pharmacy to trigger despatch to participant’s homes.</w:t>
            </w:r>
          </w:p>
          <w:p w14:paraId="11F27B19" w14:textId="77777777" w:rsidR="00D1621A" w:rsidRDefault="00242B13" w:rsidP="00352017">
            <w:pPr>
              <w:spacing w:line="276" w:lineRule="auto"/>
            </w:pPr>
            <w:r w:rsidRPr="00242B13">
              <w:t>A solution was developed with The George Institute IT team utilising a study</w:t>
            </w:r>
            <w:r>
              <w:t xml:space="preserve"> </w:t>
            </w:r>
            <w:r w:rsidRPr="00242B13">
              <w:t>specific MS Teams site.</w:t>
            </w:r>
            <w:r>
              <w:t xml:space="preserve"> </w:t>
            </w:r>
          </w:p>
          <w:p w14:paraId="2FF3943F" w14:textId="44D09BB6" w:rsidR="00242B13" w:rsidRPr="00242B13" w:rsidRDefault="00242B13" w:rsidP="00352017">
            <w:pPr>
              <w:pStyle w:val="ListParagraph"/>
              <w:numPr>
                <w:ilvl w:val="0"/>
                <w:numId w:val="42"/>
              </w:numPr>
              <w:spacing w:line="276" w:lineRule="auto"/>
            </w:pPr>
            <w:r w:rsidRPr="00242B13">
              <w:t>There are mechanisms in place to allow a team member to select the</w:t>
            </w:r>
            <w:r>
              <w:t xml:space="preserve"> </w:t>
            </w:r>
            <w:r w:rsidRPr="00242B13">
              <w:t>participant number and the visit type, along with other information</w:t>
            </w:r>
            <w:r>
              <w:t xml:space="preserve"> </w:t>
            </w:r>
            <w:r w:rsidRPr="00242B13">
              <w:t>relevant to the assessment.</w:t>
            </w:r>
          </w:p>
          <w:p w14:paraId="23A7C4F1" w14:textId="3E2DF6A8" w:rsidR="00242B13" w:rsidRPr="00242B13" w:rsidRDefault="00242B13" w:rsidP="00352017">
            <w:pPr>
              <w:pStyle w:val="ListParagraph"/>
              <w:numPr>
                <w:ilvl w:val="0"/>
                <w:numId w:val="42"/>
              </w:numPr>
              <w:spacing w:line="276" w:lineRule="auto"/>
            </w:pPr>
            <w:r w:rsidRPr="00242B13">
              <w:lastRenderedPageBreak/>
              <w:t xml:space="preserve">A pdf report is </w:t>
            </w:r>
            <w:proofErr w:type="gramStart"/>
            <w:r w:rsidRPr="00242B13">
              <w:t>generated</w:t>
            </w:r>
            <w:proofErr w:type="gramEnd"/>
            <w:r w:rsidRPr="00242B13">
              <w:t xml:space="preserve"> and a copy of the report is sent to one of the</w:t>
            </w:r>
            <w:r>
              <w:t xml:space="preserve"> </w:t>
            </w:r>
            <w:r w:rsidRPr="00242B13">
              <w:t>Central Trial Physicians (who have previously provided signed scripts)</w:t>
            </w:r>
            <w:r>
              <w:t xml:space="preserve"> </w:t>
            </w:r>
            <w:r w:rsidRPr="00242B13">
              <w:t>asking for review of the report and confirmation that the script can</w:t>
            </w:r>
            <w:r>
              <w:t xml:space="preserve"> </w:t>
            </w:r>
            <w:r w:rsidRPr="00242B13">
              <w:t>proceed.</w:t>
            </w:r>
          </w:p>
          <w:p w14:paraId="01666C17" w14:textId="77777777" w:rsidR="00D1621A" w:rsidRDefault="00242B13" w:rsidP="00352017">
            <w:pPr>
              <w:pStyle w:val="ListParagraph"/>
              <w:numPr>
                <w:ilvl w:val="0"/>
                <w:numId w:val="42"/>
              </w:numPr>
              <w:spacing w:line="276" w:lineRule="auto"/>
            </w:pPr>
            <w:r w:rsidRPr="00242B13">
              <w:t xml:space="preserve">Once confirmation is received, a script template is </w:t>
            </w:r>
            <w:proofErr w:type="gramStart"/>
            <w:r w:rsidRPr="00242B13">
              <w:t>populated</w:t>
            </w:r>
            <w:proofErr w:type="gramEnd"/>
            <w:r w:rsidRPr="00242B13">
              <w:t xml:space="preserve"> and the</w:t>
            </w:r>
            <w:r>
              <w:t xml:space="preserve"> </w:t>
            </w:r>
            <w:r w:rsidRPr="00242B13">
              <w:t>script is generated with the physician’s signature.</w:t>
            </w:r>
            <w:r>
              <w:t xml:space="preserve"> </w:t>
            </w:r>
          </w:p>
          <w:p w14:paraId="2DE75B65" w14:textId="38D29337" w:rsidR="00242B13" w:rsidRPr="00242B13" w:rsidRDefault="00242B13" w:rsidP="00352017">
            <w:pPr>
              <w:pStyle w:val="ListParagraph"/>
              <w:numPr>
                <w:ilvl w:val="0"/>
                <w:numId w:val="42"/>
              </w:numPr>
              <w:spacing w:line="276" w:lineRule="auto"/>
            </w:pPr>
            <w:r w:rsidRPr="00242B13">
              <w:t xml:space="preserve">A copy is faxed to </w:t>
            </w:r>
            <w:proofErr w:type="spellStart"/>
            <w:r w:rsidRPr="00242B13">
              <w:t>Syntro</w:t>
            </w:r>
            <w:proofErr w:type="spellEnd"/>
            <w:r w:rsidRPr="00242B13">
              <w:t xml:space="preserve"> with the original version following by post.</w:t>
            </w:r>
          </w:p>
          <w:p w14:paraId="7D9815E7" w14:textId="045144F0" w:rsidR="00200BBD" w:rsidRPr="006D66DC" w:rsidRDefault="00242B13" w:rsidP="00352017">
            <w:pPr>
              <w:pStyle w:val="ListParagraph"/>
              <w:numPr>
                <w:ilvl w:val="0"/>
                <w:numId w:val="42"/>
              </w:numPr>
              <w:spacing w:line="276" w:lineRule="auto"/>
            </w:pPr>
            <w:r w:rsidRPr="00242B13">
              <w:t>The trial team monitored temperature forecasts during summer months</w:t>
            </w:r>
            <w:r>
              <w:t xml:space="preserve"> </w:t>
            </w:r>
            <w:r w:rsidRPr="00242B13">
              <w:t>for departure and arrival cities before confirming shipments could be</w:t>
            </w:r>
            <w:r>
              <w:t xml:space="preserve"> </w:t>
            </w:r>
            <w:r w:rsidRPr="00242B13">
              <w:t>safely dispatched. The temperature requirements of the IMP were</w:t>
            </w:r>
            <w:r>
              <w:t xml:space="preserve"> </w:t>
            </w:r>
            <w:r w:rsidRPr="00242B13">
              <w:t>storage under 30C with mean temp of 25C. Transient spikes of up to 40C</w:t>
            </w:r>
            <w:r>
              <w:t xml:space="preserve"> </w:t>
            </w:r>
            <w:r w:rsidRPr="00242B13">
              <w:t xml:space="preserve">were permitted </w:t>
            </w:r>
            <w:proofErr w:type="gramStart"/>
            <w:r w:rsidRPr="00242B13">
              <w:t>as long as</w:t>
            </w:r>
            <w:proofErr w:type="gramEnd"/>
            <w:r w:rsidRPr="00242B13">
              <w:t xml:space="preserve"> they didn’t exceed 24h.</w:t>
            </w:r>
          </w:p>
        </w:tc>
      </w:tr>
      <w:tr w:rsidR="00200BBD" w:rsidRPr="004D3DA9" w14:paraId="2668D3FF" w14:textId="77777777" w:rsidTr="002E61B5">
        <w:trPr>
          <w:trHeight w:val="567"/>
        </w:trPr>
        <w:tc>
          <w:tcPr>
            <w:tcW w:w="2112" w:type="dxa"/>
          </w:tcPr>
          <w:p w14:paraId="1BCF792E" w14:textId="77777777" w:rsidR="00200BBD" w:rsidRDefault="00200BBD" w:rsidP="00352017">
            <w:pPr>
              <w:spacing w:line="276" w:lineRule="auto"/>
            </w:pPr>
            <w:r>
              <w:lastRenderedPageBreak/>
              <w:t>How was flexibility</w:t>
            </w:r>
          </w:p>
          <w:p w14:paraId="0168A432" w14:textId="77777777" w:rsidR="00200BBD" w:rsidRDefault="00200BBD" w:rsidP="00352017">
            <w:pPr>
              <w:spacing w:line="276" w:lineRule="auto"/>
            </w:pPr>
            <w:r>
              <w:t>added?</w:t>
            </w:r>
          </w:p>
        </w:tc>
        <w:tc>
          <w:tcPr>
            <w:tcW w:w="6884" w:type="dxa"/>
          </w:tcPr>
          <w:p w14:paraId="266FB468" w14:textId="5AB9ACFD" w:rsidR="00200BBD" w:rsidRPr="006D66DC" w:rsidRDefault="00AD5FC6" w:rsidP="00352017">
            <w:pPr>
              <w:spacing w:line="276" w:lineRule="auto"/>
            </w:pPr>
            <w:r w:rsidRPr="00AD5FC6">
              <w:t>This flexibility was planned from the beginning of the trial and is outlined in</w:t>
            </w:r>
            <w:r>
              <w:t xml:space="preserve"> </w:t>
            </w:r>
            <w:r w:rsidRPr="00AD5FC6">
              <w:t>detailed manual of procedures.</w:t>
            </w:r>
          </w:p>
        </w:tc>
      </w:tr>
    </w:tbl>
    <w:p w14:paraId="1E99B74A" w14:textId="77777777" w:rsidR="00200BBD" w:rsidRPr="00201379" w:rsidRDefault="00200BBD" w:rsidP="00352017">
      <w:pPr>
        <w:pStyle w:val="Heading2"/>
        <w:spacing w:line="276" w:lineRule="auto"/>
        <w:rPr>
          <w:sz w:val="36"/>
          <w:szCs w:val="24"/>
        </w:rPr>
      </w:pPr>
      <w:r w:rsidRPr="00201379">
        <w:rPr>
          <w:sz w:val="36"/>
          <w:szCs w:val="24"/>
        </w:rPr>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2FD4587A" w14:textId="77777777" w:rsidTr="002E61B5">
        <w:trPr>
          <w:trHeight w:val="567"/>
        </w:trPr>
        <w:tc>
          <w:tcPr>
            <w:tcW w:w="2112" w:type="dxa"/>
            <w:shd w:val="clear" w:color="auto" w:fill="E8E8E8" w:themeFill="background2"/>
          </w:tcPr>
          <w:p w14:paraId="0A196552"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0B50A4F1" w14:textId="77777777" w:rsidR="00200BBD" w:rsidRPr="00C20036" w:rsidRDefault="00200BBD" w:rsidP="00352017">
            <w:pPr>
              <w:spacing w:after="160" w:line="276" w:lineRule="auto"/>
              <w:rPr>
                <w:b/>
                <w:bCs/>
                <w:sz w:val="32"/>
                <w:szCs w:val="32"/>
              </w:rPr>
            </w:pPr>
            <w:r>
              <w:rPr>
                <w:b/>
                <w:bCs/>
                <w:sz w:val="32"/>
                <w:szCs w:val="32"/>
              </w:rPr>
              <w:t>Description of impact</w:t>
            </w:r>
          </w:p>
        </w:tc>
      </w:tr>
      <w:tr w:rsidR="00200BBD" w:rsidRPr="004D3DA9" w14:paraId="649732C6" w14:textId="77777777" w:rsidTr="002E61B5">
        <w:trPr>
          <w:trHeight w:val="567"/>
        </w:trPr>
        <w:tc>
          <w:tcPr>
            <w:tcW w:w="2112" w:type="dxa"/>
          </w:tcPr>
          <w:p w14:paraId="005314E2" w14:textId="77777777" w:rsidR="00200BBD" w:rsidRPr="00394D3A" w:rsidRDefault="00200BBD" w:rsidP="00352017">
            <w:pPr>
              <w:spacing w:after="160" w:line="276" w:lineRule="auto"/>
            </w:pPr>
            <w:r>
              <w:t>Data collection</w:t>
            </w:r>
          </w:p>
        </w:tc>
        <w:tc>
          <w:tcPr>
            <w:tcW w:w="6884" w:type="dxa"/>
          </w:tcPr>
          <w:p w14:paraId="0E54C1B0" w14:textId="537F36E7" w:rsidR="00200BBD" w:rsidRPr="00394D3A" w:rsidRDefault="00AD5FC6" w:rsidP="00352017">
            <w:pPr>
              <w:spacing w:line="276" w:lineRule="auto"/>
            </w:pPr>
            <w:r w:rsidRPr="00AD5FC6">
              <w:t>This exercise didn’t really impact the data collection, but rather enabled</w:t>
            </w:r>
            <w:r>
              <w:t xml:space="preserve"> </w:t>
            </w:r>
            <w:r w:rsidRPr="00AD5FC6">
              <w:t>study drug to be managed centrally and sent directly to participant’s homes.</w:t>
            </w:r>
          </w:p>
        </w:tc>
      </w:tr>
      <w:tr w:rsidR="00200BBD" w:rsidRPr="004D3DA9" w14:paraId="0B72F4A1" w14:textId="77777777" w:rsidTr="002E61B5">
        <w:trPr>
          <w:trHeight w:val="567"/>
        </w:trPr>
        <w:tc>
          <w:tcPr>
            <w:tcW w:w="2112" w:type="dxa"/>
          </w:tcPr>
          <w:p w14:paraId="1783BE7A" w14:textId="77777777" w:rsidR="00200BBD" w:rsidRPr="00394D3A" w:rsidRDefault="00200BBD" w:rsidP="00352017">
            <w:pPr>
              <w:spacing w:after="160" w:line="276" w:lineRule="auto"/>
            </w:pPr>
            <w:r>
              <w:t>Recruitment and retention</w:t>
            </w:r>
          </w:p>
        </w:tc>
        <w:tc>
          <w:tcPr>
            <w:tcW w:w="6884" w:type="dxa"/>
          </w:tcPr>
          <w:p w14:paraId="342F08D7" w14:textId="1E85023F" w:rsidR="00200BBD" w:rsidRPr="00394D3A" w:rsidRDefault="00AD5FC6" w:rsidP="00352017">
            <w:pPr>
              <w:spacing w:line="276" w:lineRule="auto"/>
            </w:pPr>
            <w:r w:rsidRPr="00AD5FC6">
              <w:t>There wasn’t an effect on recruitment (which has been incredibly challenging</w:t>
            </w:r>
            <w:r>
              <w:t xml:space="preserve"> </w:t>
            </w:r>
            <w:r w:rsidRPr="00AD5FC6">
              <w:t>for this trial) but anecdotally it worked well for participants having the</w:t>
            </w:r>
            <w:r>
              <w:t xml:space="preserve"> </w:t>
            </w:r>
            <w:r w:rsidRPr="00AD5FC6">
              <w:t>medication delivered and they were generally happy with this approach.</w:t>
            </w:r>
          </w:p>
        </w:tc>
      </w:tr>
      <w:tr w:rsidR="00200BBD" w:rsidRPr="004D3DA9" w14:paraId="52FCEEEE" w14:textId="77777777" w:rsidTr="002E61B5">
        <w:trPr>
          <w:trHeight w:val="567"/>
        </w:trPr>
        <w:tc>
          <w:tcPr>
            <w:tcW w:w="2112" w:type="dxa"/>
          </w:tcPr>
          <w:p w14:paraId="541F73C4" w14:textId="77777777" w:rsidR="00200BBD" w:rsidRDefault="00200BBD" w:rsidP="00352017">
            <w:pPr>
              <w:spacing w:line="276" w:lineRule="auto"/>
            </w:pPr>
            <w:r>
              <w:t>Review process</w:t>
            </w:r>
          </w:p>
        </w:tc>
        <w:tc>
          <w:tcPr>
            <w:tcW w:w="6884" w:type="dxa"/>
          </w:tcPr>
          <w:p w14:paraId="55A917A5" w14:textId="2E7C8C21" w:rsidR="00200BBD" w:rsidRPr="006D66DC" w:rsidRDefault="0061349C" w:rsidP="00352017">
            <w:pPr>
              <w:spacing w:line="276" w:lineRule="auto"/>
            </w:pPr>
            <w:r w:rsidRPr="0061349C">
              <w:t>We looked upon this as a legal issue rather than an ethical issue. We didn’t</w:t>
            </w:r>
            <w:r>
              <w:t xml:space="preserve"> </w:t>
            </w:r>
            <w:r w:rsidRPr="0061349C">
              <w:t>deviate from the fact that a registered physician had to physically sign the</w:t>
            </w:r>
            <w:r>
              <w:t xml:space="preserve"> </w:t>
            </w:r>
            <w:r w:rsidRPr="0061349C">
              <w:t>scripts. We just found a way to enable this to happen via trial physicians</w:t>
            </w:r>
            <w:r>
              <w:t xml:space="preserve"> </w:t>
            </w:r>
            <w:r w:rsidRPr="0061349C">
              <w:t xml:space="preserve">located at The George Institute (as the site) and </w:t>
            </w:r>
            <w:proofErr w:type="spellStart"/>
            <w:r w:rsidRPr="0061349C">
              <w:t>Syntro</w:t>
            </w:r>
            <w:proofErr w:type="spellEnd"/>
            <w:r w:rsidRPr="0061349C">
              <w:t xml:space="preserve"> the central</w:t>
            </w:r>
            <w:r>
              <w:t xml:space="preserve"> </w:t>
            </w:r>
            <w:r w:rsidRPr="0061349C">
              <w:t>pharmacy. In the PISCF it was explicit that trial drug would be sent from</w:t>
            </w:r>
            <w:r>
              <w:t xml:space="preserve"> </w:t>
            </w:r>
            <w:proofErr w:type="spellStart"/>
            <w:r w:rsidRPr="0061349C">
              <w:t>Syntro</w:t>
            </w:r>
            <w:proofErr w:type="spellEnd"/>
            <w:r w:rsidRPr="0061349C">
              <w:t xml:space="preserve"> to a participant’s home.</w:t>
            </w:r>
          </w:p>
        </w:tc>
      </w:tr>
      <w:tr w:rsidR="00200BBD" w:rsidRPr="004D3DA9" w14:paraId="451AC5E9" w14:textId="77777777" w:rsidTr="002E61B5">
        <w:trPr>
          <w:trHeight w:val="567"/>
        </w:trPr>
        <w:tc>
          <w:tcPr>
            <w:tcW w:w="2112" w:type="dxa"/>
          </w:tcPr>
          <w:p w14:paraId="4C670012" w14:textId="77777777" w:rsidR="00200BBD" w:rsidRDefault="00200BBD" w:rsidP="00352017">
            <w:pPr>
              <w:spacing w:line="276" w:lineRule="auto"/>
            </w:pPr>
            <w:r>
              <w:t>Contracts</w:t>
            </w:r>
          </w:p>
        </w:tc>
        <w:tc>
          <w:tcPr>
            <w:tcW w:w="6884" w:type="dxa"/>
          </w:tcPr>
          <w:p w14:paraId="267A83B0" w14:textId="5A03F4FE" w:rsidR="00200BBD" w:rsidRPr="006D66DC" w:rsidRDefault="0061349C" w:rsidP="00352017">
            <w:pPr>
              <w:spacing w:line="276" w:lineRule="auto"/>
            </w:pPr>
            <w:r w:rsidRPr="0061349C">
              <w:t xml:space="preserve">There is a contract with </w:t>
            </w:r>
            <w:proofErr w:type="spellStart"/>
            <w:r w:rsidRPr="0061349C">
              <w:t>Syntro</w:t>
            </w:r>
            <w:proofErr w:type="spellEnd"/>
            <w:r w:rsidRPr="0061349C">
              <w:t xml:space="preserve"> Pharmacy to despatch the trial medication</w:t>
            </w:r>
            <w:r>
              <w:t xml:space="preserve"> </w:t>
            </w:r>
            <w:r w:rsidRPr="0061349C">
              <w:t>directly to participants.</w:t>
            </w:r>
          </w:p>
        </w:tc>
      </w:tr>
      <w:tr w:rsidR="00200BBD" w:rsidRPr="004D3DA9" w14:paraId="2C9A5A16" w14:textId="77777777" w:rsidTr="002E61B5">
        <w:trPr>
          <w:trHeight w:val="567"/>
        </w:trPr>
        <w:tc>
          <w:tcPr>
            <w:tcW w:w="2112" w:type="dxa"/>
          </w:tcPr>
          <w:p w14:paraId="2F2766B8" w14:textId="77777777" w:rsidR="00200BBD" w:rsidRDefault="00200BBD" w:rsidP="00352017">
            <w:pPr>
              <w:spacing w:line="276" w:lineRule="auto"/>
            </w:pPr>
            <w:r>
              <w:lastRenderedPageBreak/>
              <w:t>Finances</w:t>
            </w:r>
          </w:p>
        </w:tc>
        <w:tc>
          <w:tcPr>
            <w:tcW w:w="6884" w:type="dxa"/>
          </w:tcPr>
          <w:p w14:paraId="159C69FA" w14:textId="58D6CBC5" w:rsidR="00200BBD" w:rsidRPr="006D66DC" w:rsidRDefault="0061349C" w:rsidP="00352017">
            <w:pPr>
              <w:spacing w:line="276" w:lineRule="auto"/>
            </w:pPr>
            <w:r w:rsidRPr="0061349C">
              <w:t>This approach meant that more assessments could be done by phone as</w:t>
            </w:r>
            <w:r>
              <w:t xml:space="preserve"> d</w:t>
            </w:r>
            <w:r w:rsidRPr="0061349C">
              <w:t>rug was being sent to participants homes which meant lower cost</w:t>
            </w:r>
            <w:r>
              <w:t xml:space="preserve"> </w:t>
            </w:r>
            <w:r w:rsidRPr="0061349C">
              <w:t>assessments. Additionally having one pharmacy rather than multiple is a</w:t>
            </w:r>
            <w:r>
              <w:t xml:space="preserve"> </w:t>
            </w:r>
            <w:r w:rsidRPr="0061349C">
              <w:t>cost saving.</w:t>
            </w:r>
          </w:p>
        </w:tc>
      </w:tr>
    </w:tbl>
    <w:p w14:paraId="387ED5A9" w14:textId="77777777" w:rsidR="00200BBD" w:rsidRDefault="00200BBD" w:rsidP="00352017">
      <w:pPr>
        <w:spacing w:line="276" w:lineRule="auto"/>
      </w:pPr>
    </w:p>
    <w:p w14:paraId="74D77BCC" w14:textId="77777777" w:rsidR="00200BBD" w:rsidRPr="00201379" w:rsidRDefault="00200BBD" w:rsidP="00352017">
      <w:pPr>
        <w:pStyle w:val="Heading2"/>
        <w:spacing w:line="276" w:lineRule="auto"/>
        <w:rPr>
          <w:sz w:val="36"/>
          <w:szCs w:val="24"/>
        </w:rPr>
      </w:pPr>
      <w:r w:rsidRPr="00201379">
        <w:rPr>
          <w:sz w:val="36"/>
          <w:szCs w:val="24"/>
        </w:rPr>
        <w:t>Overall thoughts</w:t>
      </w:r>
    </w:p>
    <w:p w14:paraId="13C48673" w14:textId="723EC1B9" w:rsidR="00200BBD" w:rsidRPr="00CC26CE" w:rsidRDefault="00CC26CE" w:rsidP="00352017">
      <w:pPr>
        <w:spacing w:line="276" w:lineRule="auto"/>
      </w:pPr>
      <w:r w:rsidRPr="00CC26CE">
        <w:t>The strength is that we were able to utilise trial physicians employed by The George Institute.</w:t>
      </w:r>
      <w:r>
        <w:t xml:space="preserve"> </w:t>
      </w:r>
      <w:r w:rsidRPr="00CC26CE">
        <w:t>This is an approach that could be replicated by other trial teams recruiting through general practice</w:t>
      </w:r>
      <w:r>
        <w:t xml:space="preserve"> </w:t>
      </w:r>
      <w:r w:rsidRPr="00CC26CE">
        <w:t>or in the community where trial medication is being sent directly to participants.</w:t>
      </w:r>
    </w:p>
    <w:p w14:paraId="7707F63D" w14:textId="77777777" w:rsidR="006C1DAB" w:rsidRDefault="006C1DAB" w:rsidP="00352017">
      <w:pPr>
        <w:spacing w:line="276" w:lineRule="auto"/>
        <w:rPr>
          <w:rFonts w:asciiTheme="majorHAnsi" w:eastAsiaTheme="majorEastAsia" w:hAnsiTheme="majorHAnsi" w:cstheme="majorBidi"/>
          <w:b/>
          <w:sz w:val="56"/>
          <w:szCs w:val="40"/>
        </w:rPr>
      </w:pPr>
      <w:r>
        <w:br w:type="page"/>
      </w:r>
    </w:p>
    <w:p w14:paraId="7A197486" w14:textId="010B364C" w:rsidR="00200BBD" w:rsidRDefault="00200BBD" w:rsidP="00352017">
      <w:pPr>
        <w:pStyle w:val="Heading1"/>
        <w:spacing w:line="276" w:lineRule="auto"/>
      </w:pPr>
      <w:bookmarkStart w:id="6" w:name="_Toc230005682"/>
      <w:r>
        <w:lastRenderedPageBreak/>
        <w:t>Case Study 6:</w:t>
      </w:r>
      <w:r w:rsidR="00CC26CE">
        <w:t xml:space="preserve"> Regional satellite site</w:t>
      </w:r>
      <w:bookmarkEnd w:id="6"/>
    </w:p>
    <w:p w14:paraId="4582D294" w14:textId="2A761ABF" w:rsidR="00200BBD" w:rsidRDefault="00200BBD" w:rsidP="00352017">
      <w:pPr>
        <w:spacing w:line="276" w:lineRule="auto"/>
      </w:pPr>
      <w:r>
        <w:t xml:space="preserve">Case study provided by: </w:t>
      </w:r>
      <w:r w:rsidR="00CC26CE">
        <w:t>WA Country Health Service (WACHS)</w:t>
      </w:r>
    </w:p>
    <w:p w14:paraId="46D5519B" w14:textId="6655A6C6" w:rsidR="00200BBD" w:rsidRPr="004C40AE" w:rsidRDefault="00200BBD" w:rsidP="00352017">
      <w:pPr>
        <w:spacing w:line="276" w:lineRule="auto"/>
      </w:pPr>
      <w:r>
        <w:t xml:space="preserve">For more information contact: </w:t>
      </w:r>
      <w:r w:rsidR="00CC26CE">
        <w:t xml:space="preserve">Nadine Herren, </w:t>
      </w:r>
      <w:hyperlink r:id="rId13" w:history="1">
        <w:r w:rsidR="0039436C" w:rsidRPr="0039436C">
          <w:rPr>
            <w:rStyle w:val="Hyperlink"/>
          </w:rPr>
          <w:t>WA Country Health Service - Clinical trials</w:t>
        </w:r>
      </w:hyperlink>
    </w:p>
    <w:p w14:paraId="00A878FC" w14:textId="77777777" w:rsidR="00200BBD" w:rsidRPr="002E61B5" w:rsidRDefault="00200BBD" w:rsidP="00352017">
      <w:pPr>
        <w:pStyle w:val="Heading2"/>
        <w:spacing w:line="276" w:lineRule="auto"/>
        <w:rPr>
          <w:sz w:val="36"/>
          <w:szCs w:val="24"/>
        </w:rPr>
      </w:pPr>
      <w:r w:rsidRPr="002E61B5">
        <w:rPr>
          <w:sz w:val="36"/>
          <w:szCs w:val="24"/>
        </w:rPr>
        <w:t>Context of the trial and flexible methods used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513156B4" w14:textId="77777777" w:rsidTr="002E61B5">
        <w:trPr>
          <w:trHeight w:val="567"/>
        </w:trPr>
        <w:tc>
          <w:tcPr>
            <w:tcW w:w="2112" w:type="dxa"/>
            <w:shd w:val="clear" w:color="auto" w:fill="E8E8E8" w:themeFill="background2"/>
          </w:tcPr>
          <w:p w14:paraId="5A360E92"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66D9EBA0" w14:textId="77777777" w:rsidR="00200BBD" w:rsidRPr="00C20036" w:rsidRDefault="00200BBD" w:rsidP="00352017">
            <w:pPr>
              <w:spacing w:after="160" w:line="276" w:lineRule="auto"/>
              <w:rPr>
                <w:b/>
                <w:bCs/>
                <w:sz w:val="32"/>
                <w:szCs w:val="32"/>
              </w:rPr>
            </w:pPr>
            <w:r>
              <w:rPr>
                <w:b/>
                <w:bCs/>
                <w:sz w:val="32"/>
                <w:szCs w:val="32"/>
              </w:rPr>
              <w:t>Description of context</w:t>
            </w:r>
          </w:p>
        </w:tc>
      </w:tr>
      <w:tr w:rsidR="00200BBD" w:rsidRPr="004D3DA9" w14:paraId="16BAA34C" w14:textId="77777777" w:rsidTr="002E61B5">
        <w:trPr>
          <w:trHeight w:val="567"/>
        </w:trPr>
        <w:tc>
          <w:tcPr>
            <w:tcW w:w="2112" w:type="dxa"/>
          </w:tcPr>
          <w:p w14:paraId="6CD821B6" w14:textId="77777777" w:rsidR="00200BBD" w:rsidRPr="00394D3A" w:rsidRDefault="00200BBD" w:rsidP="00352017">
            <w:pPr>
              <w:spacing w:after="160" w:line="276" w:lineRule="auto"/>
            </w:pPr>
            <w:r>
              <w:t>Description of trial aim</w:t>
            </w:r>
          </w:p>
        </w:tc>
        <w:tc>
          <w:tcPr>
            <w:tcW w:w="6884" w:type="dxa"/>
          </w:tcPr>
          <w:p w14:paraId="3A9239A8" w14:textId="06A884CB" w:rsidR="00200BBD" w:rsidRPr="00394D3A" w:rsidRDefault="00720A4F" w:rsidP="00352017">
            <w:pPr>
              <w:spacing w:line="276" w:lineRule="auto"/>
            </w:pPr>
            <w:r w:rsidRPr="00720A4F">
              <w:t>Reduce blood phosphate and associated complications by reducing dietary</w:t>
            </w:r>
            <w:r>
              <w:t xml:space="preserve"> </w:t>
            </w:r>
            <w:r w:rsidRPr="00720A4F">
              <w:t>phosphate intake in patients on dialysis</w:t>
            </w:r>
            <w:r>
              <w:t>.</w:t>
            </w:r>
          </w:p>
        </w:tc>
      </w:tr>
      <w:tr w:rsidR="00200BBD" w:rsidRPr="004D3DA9" w14:paraId="3D9F5C73" w14:textId="77777777" w:rsidTr="002E61B5">
        <w:trPr>
          <w:trHeight w:val="567"/>
        </w:trPr>
        <w:tc>
          <w:tcPr>
            <w:tcW w:w="2112" w:type="dxa"/>
          </w:tcPr>
          <w:p w14:paraId="1117561B" w14:textId="77777777" w:rsidR="00200BBD" w:rsidRPr="00394D3A" w:rsidRDefault="00200BBD" w:rsidP="00352017">
            <w:pPr>
              <w:spacing w:after="160" w:line="276" w:lineRule="auto"/>
            </w:pPr>
            <w:r>
              <w:t>Trial size and location(s)</w:t>
            </w:r>
          </w:p>
        </w:tc>
        <w:tc>
          <w:tcPr>
            <w:tcW w:w="6884" w:type="dxa"/>
          </w:tcPr>
          <w:p w14:paraId="2BD1D8DB" w14:textId="5BAA8995" w:rsidR="00720A4F" w:rsidRDefault="00720A4F" w:rsidP="00352017">
            <w:pPr>
              <w:spacing w:line="276" w:lineRule="auto"/>
            </w:pPr>
            <w:r w:rsidRPr="00720A4F">
              <w:t>23 sites, across Australia</w:t>
            </w:r>
            <w:r>
              <w:t>.</w:t>
            </w:r>
          </w:p>
          <w:p w14:paraId="4A01DF9D" w14:textId="77777777" w:rsidR="00720A4F" w:rsidRPr="00720A4F" w:rsidRDefault="00720A4F" w:rsidP="00352017">
            <w:pPr>
              <w:spacing w:line="276" w:lineRule="auto"/>
            </w:pPr>
          </w:p>
          <w:p w14:paraId="474F05D3" w14:textId="2C790654" w:rsidR="00200BBD" w:rsidRPr="00394D3A" w:rsidRDefault="00720A4F" w:rsidP="00352017">
            <w:pPr>
              <w:spacing w:line="276" w:lineRule="auto"/>
            </w:pPr>
            <w:r w:rsidRPr="00720A4F">
              <w:t>Case study relates to a site with a Perth tertiary hospital and a WA regional hospital.</w:t>
            </w:r>
          </w:p>
        </w:tc>
      </w:tr>
      <w:tr w:rsidR="00200BBD" w:rsidRPr="004D3DA9" w14:paraId="38F95E5D" w14:textId="77777777" w:rsidTr="002E61B5">
        <w:trPr>
          <w:trHeight w:val="567"/>
        </w:trPr>
        <w:tc>
          <w:tcPr>
            <w:tcW w:w="2112" w:type="dxa"/>
          </w:tcPr>
          <w:p w14:paraId="25AA77BA" w14:textId="77777777" w:rsidR="00200BBD" w:rsidRDefault="00200BBD" w:rsidP="00352017">
            <w:pPr>
              <w:spacing w:line="276" w:lineRule="auto"/>
            </w:pPr>
            <w:r>
              <w:t>Sponsor</w:t>
            </w:r>
          </w:p>
        </w:tc>
        <w:tc>
          <w:tcPr>
            <w:tcW w:w="6884" w:type="dxa"/>
          </w:tcPr>
          <w:p w14:paraId="17BFED25" w14:textId="1B4A13E1" w:rsidR="00200BBD" w:rsidRPr="006D66DC" w:rsidRDefault="00720A4F" w:rsidP="00352017">
            <w:pPr>
              <w:spacing w:line="276" w:lineRule="auto"/>
            </w:pPr>
            <w:r>
              <w:t>An Australian university.</w:t>
            </w:r>
          </w:p>
        </w:tc>
      </w:tr>
      <w:tr w:rsidR="00200BBD" w:rsidRPr="004D3DA9" w14:paraId="2B2CFC4A" w14:textId="77777777" w:rsidTr="002E61B5">
        <w:trPr>
          <w:trHeight w:val="567"/>
        </w:trPr>
        <w:tc>
          <w:tcPr>
            <w:tcW w:w="2112" w:type="dxa"/>
          </w:tcPr>
          <w:p w14:paraId="51A5D8EC" w14:textId="77777777" w:rsidR="00200BBD" w:rsidRDefault="00200BBD" w:rsidP="00352017">
            <w:pPr>
              <w:spacing w:line="276" w:lineRule="auto"/>
            </w:pPr>
            <w:r>
              <w:t>Why were flexible</w:t>
            </w:r>
          </w:p>
          <w:p w14:paraId="627FA5FB" w14:textId="77777777" w:rsidR="00200BBD" w:rsidRDefault="00200BBD" w:rsidP="00352017">
            <w:pPr>
              <w:spacing w:line="276" w:lineRule="auto"/>
            </w:pPr>
            <w:r>
              <w:t>trial elements used?</w:t>
            </w:r>
          </w:p>
        </w:tc>
        <w:tc>
          <w:tcPr>
            <w:tcW w:w="6884" w:type="dxa"/>
          </w:tcPr>
          <w:p w14:paraId="560F7CA0" w14:textId="7A2F0E7B" w:rsidR="00200BBD" w:rsidRPr="006D66DC" w:rsidRDefault="00720A4F" w:rsidP="00352017">
            <w:pPr>
              <w:spacing w:line="276" w:lineRule="auto"/>
            </w:pPr>
            <w:r w:rsidRPr="00720A4F">
              <w:t>The trial for dialysis patents was based in the city. Many renal failure patients are</w:t>
            </w:r>
            <w:r>
              <w:t xml:space="preserve"> </w:t>
            </w:r>
            <w:r w:rsidRPr="00720A4F">
              <w:t>living in rural, regional and remote areas and have difficulty travelling to the city to</w:t>
            </w:r>
            <w:r>
              <w:t xml:space="preserve"> </w:t>
            </w:r>
            <w:r w:rsidRPr="00720A4F">
              <w:t>participate in clinical trials.</w:t>
            </w:r>
          </w:p>
        </w:tc>
      </w:tr>
      <w:tr w:rsidR="00200BBD" w:rsidRPr="004D3DA9" w14:paraId="59F469B3" w14:textId="77777777" w:rsidTr="002E61B5">
        <w:trPr>
          <w:trHeight w:val="567"/>
        </w:trPr>
        <w:tc>
          <w:tcPr>
            <w:tcW w:w="2112" w:type="dxa"/>
          </w:tcPr>
          <w:p w14:paraId="77D76784" w14:textId="77777777" w:rsidR="00200BBD" w:rsidRDefault="00200BBD" w:rsidP="00352017">
            <w:pPr>
              <w:spacing w:line="276" w:lineRule="auto"/>
            </w:pPr>
            <w:r>
              <w:t>What flexible</w:t>
            </w:r>
          </w:p>
          <w:p w14:paraId="1DAB1B7B" w14:textId="77777777" w:rsidR="00200BBD" w:rsidRDefault="00200BBD" w:rsidP="00352017">
            <w:pPr>
              <w:spacing w:line="276" w:lineRule="auto"/>
            </w:pPr>
            <w:r>
              <w:t>elements were used?</w:t>
            </w:r>
          </w:p>
        </w:tc>
        <w:tc>
          <w:tcPr>
            <w:tcW w:w="6884" w:type="dxa"/>
          </w:tcPr>
          <w:p w14:paraId="49454997" w14:textId="777172AA" w:rsidR="00063E51" w:rsidRPr="00063E51" w:rsidRDefault="00063E51" w:rsidP="00352017">
            <w:pPr>
              <w:spacing w:line="276" w:lineRule="auto"/>
            </w:pPr>
            <w:r w:rsidRPr="00063E51">
              <w:t>The Perth tertiary hospital added the WA regional hospital as a Satellite Site.</w:t>
            </w:r>
            <w:r>
              <w:t xml:space="preserve"> </w:t>
            </w:r>
            <w:r w:rsidRPr="00063E51">
              <w:t>The Principal Investigator (PI) in Perth provided oversight to the Satellite Site to</w:t>
            </w:r>
            <w:r>
              <w:t xml:space="preserve"> </w:t>
            </w:r>
            <w:r w:rsidRPr="00063E51">
              <w:t>enable the delivery of clinical trial activities.</w:t>
            </w:r>
          </w:p>
          <w:p w14:paraId="451EE8F6" w14:textId="77777777" w:rsidR="00063E51" w:rsidRDefault="00063E51" w:rsidP="00352017">
            <w:pPr>
              <w:spacing w:line="276" w:lineRule="auto"/>
            </w:pPr>
          </w:p>
          <w:p w14:paraId="11CB9B37" w14:textId="77777777" w:rsidR="00063E51" w:rsidRDefault="00063E51" w:rsidP="00352017">
            <w:pPr>
              <w:spacing w:line="276" w:lineRule="auto"/>
            </w:pPr>
            <w:r w:rsidRPr="00063E51">
              <w:t>All trial visits were conducted while patients were undergoing routine dialysis in the</w:t>
            </w:r>
            <w:r>
              <w:t xml:space="preserve"> </w:t>
            </w:r>
            <w:r w:rsidRPr="00063E51">
              <w:t>regional dialysis unit.</w:t>
            </w:r>
            <w:r>
              <w:t xml:space="preserve"> </w:t>
            </w:r>
          </w:p>
          <w:p w14:paraId="7EB7240F" w14:textId="77777777" w:rsidR="00063E51" w:rsidRDefault="00063E51" w:rsidP="00352017">
            <w:pPr>
              <w:spacing w:line="276" w:lineRule="auto"/>
            </w:pPr>
          </w:p>
          <w:p w14:paraId="484A0025" w14:textId="4B0E4D45" w:rsidR="00200BBD" w:rsidRPr="006D66DC" w:rsidRDefault="00063E51" w:rsidP="00352017">
            <w:pPr>
              <w:spacing w:line="276" w:lineRule="auto"/>
            </w:pPr>
            <w:r w:rsidRPr="00063E51">
              <w:t>This option was available for patients living close to the regional hospital so that</w:t>
            </w:r>
            <w:r>
              <w:t xml:space="preserve"> </w:t>
            </w:r>
            <w:r w:rsidRPr="00063E51">
              <w:t>they could take part without having to travel 8hrs or more to Perth.</w:t>
            </w:r>
          </w:p>
        </w:tc>
      </w:tr>
      <w:tr w:rsidR="00200BBD" w:rsidRPr="004D3DA9" w14:paraId="79AC993F" w14:textId="77777777" w:rsidTr="002E61B5">
        <w:trPr>
          <w:trHeight w:val="567"/>
        </w:trPr>
        <w:tc>
          <w:tcPr>
            <w:tcW w:w="2112" w:type="dxa"/>
          </w:tcPr>
          <w:p w14:paraId="1087E533" w14:textId="77777777" w:rsidR="00200BBD" w:rsidRDefault="00200BBD" w:rsidP="00352017">
            <w:pPr>
              <w:spacing w:line="276" w:lineRule="auto"/>
            </w:pPr>
            <w:r>
              <w:t>How was flexibility</w:t>
            </w:r>
          </w:p>
          <w:p w14:paraId="4870A1F4" w14:textId="77777777" w:rsidR="00200BBD" w:rsidRDefault="00200BBD" w:rsidP="00352017">
            <w:pPr>
              <w:spacing w:line="276" w:lineRule="auto"/>
            </w:pPr>
            <w:r>
              <w:t>added?</w:t>
            </w:r>
          </w:p>
        </w:tc>
        <w:tc>
          <w:tcPr>
            <w:tcW w:w="6884" w:type="dxa"/>
          </w:tcPr>
          <w:p w14:paraId="312F9B5F" w14:textId="77777777" w:rsidR="00A6470B" w:rsidRPr="00A6470B" w:rsidRDefault="00A6470B" w:rsidP="00352017">
            <w:pPr>
              <w:spacing w:line="276" w:lineRule="auto"/>
              <w:rPr>
                <w:i/>
                <w:iCs/>
              </w:rPr>
            </w:pPr>
            <w:r w:rsidRPr="00A6470B">
              <w:rPr>
                <w:i/>
                <w:iCs/>
              </w:rPr>
              <w:t>Contractual Arrangements</w:t>
            </w:r>
          </w:p>
          <w:p w14:paraId="1EC0E377" w14:textId="1660BE34" w:rsidR="00A6470B" w:rsidRPr="00A6470B" w:rsidRDefault="00A6470B" w:rsidP="00352017">
            <w:pPr>
              <w:spacing w:line="276" w:lineRule="auto"/>
            </w:pPr>
            <w:r w:rsidRPr="00A6470B">
              <w:t>The Medicines Australia Clinical Trial Research Agreement (CTRA) between the</w:t>
            </w:r>
            <w:r>
              <w:t xml:space="preserve"> </w:t>
            </w:r>
            <w:r w:rsidRPr="00A6470B">
              <w:t>Sponsor and the trial site institution was amended to include Satellite Site clauses,</w:t>
            </w:r>
            <w:r>
              <w:t xml:space="preserve"> </w:t>
            </w:r>
            <w:r w:rsidRPr="00A6470B">
              <w:t xml:space="preserve">and the </w:t>
            </w:r>
            <w:proofErr w:type="spellStart"/>
            <w:r w:rsidRPr="00A6470B">
              <w:t>Teletrial</w:t>
            </w:r>
            <w:proofErr w:type="spellEnd"/>
            <w:r w:rsidRPr="00A6470B">
              <w:t xml:space="preserve"> sub-contract was executed by the trial site institution and the</w:t>
            </w:r>
            <w:r>
              <w:t xml:space="preserve"> </w:t>
            </w:r>
            <w:r w:rsidRPr="00A6470B">
              <w:t>satellite site institution.</w:t>
            </w:r>
          </w:p>
          <w:p w14:paraId="3C539DA2" w14:textId="77777777" w:rsidR="00A6470B" w:rsidRDefault="00A6470B" w:rsidP="00352017">
            <w:pPr>
              <w:spacing w:line="276" w:lineRule="auto"/>
              <w:rPr>
                <w:i/>
                <w:iCs/>
              </w:rPr>
            </w:pPr>
          </w:p>
          <w:p w14:paraId="68E3198E" w14:textId="186D8352" w:rsidR="00A6470B" w:rsidRPr="00A6470B" w:rsidRDefault="00A6470B" w:rsidP="00352017">
            <w:pPr>
              <w:spacing w:line="276" w:lineRule="auto"/>
              <w:rPr>
                <w:i/>
                <w:iCs/>
              </w:rPr>
            </w:pPr>
            <w:r w:rsidRPr="00A6470B">
              <w:rPr>
                <w:i/>
                <w:iCs/>
              </w:rPr>
              <w:lastRenderedPageBreak/>
              <w:t>Research Ethics and Governance Review</w:t>
            </w:r>
          </w:p>
          <w:p w14:paraId="5BAE9A13" w14:textId="6983FE77" w:rsidR="00A6470B" w:rsidRDefault="00A6470B" w:rsidP="00352017">
            <w:pPr>
              <w:spacing w:line="276" w:lineRule="auto"/>
            </w:pPr>
            <w:r w:rsidRPr="00A6470B">
              <w:t>A WA Research Ethics and Governance Working Group was established to design a</w:t>
            </w:r>
            <w:r>
              <w:t xml:space="preserve"> </w:t>
            </w:r>
            <w:r w:rsidRPr="00A6470B">
              <w:t xml:space="preserve">streamlined co-review process for </w:t>
            </w:r>
            <w:proofErr w:type="spellStart"/>
            <w:r w:rsidRPr="00A6470B">
              <w:t>Teletrials</w:t>
            </w:r>
            <w:proofErr w:type="spellEnd"/>
            <w:r w:rsidRPr="00A6470B">
              <w:t xml:space="preserve"> across separate intuitions. The</w:t>
            </w:r>
            <w:r>
              <w:t xml:space="preserve"> </w:t>
            </w:r>
            <w:r w:rsidRPr="00A6470B">
              <w:t>Research Governance Offices of the two institutions worked collaboratively to</w:t>
            </w:r>
            <w:r>
              <w:t xml:space="preserve"> </w:t>
            </w:r>
            <w:r w:rsidRPr="00A6470B">
              <w:t>review the addition of the Satellite Site. Both institutions authorised the Satellite</w:t>
            </w:r>
            <w:r>
              <w:t xml:space="preserve"> </w:t>
            </w:r>
            <w:r w:rsidRPr="00A6470B">
              <w:t>Site.</w:t>
            </w:r>
          </w:p>
          <w:p w14:paraId="53D29D1E" w14:textId="77777777" w:rsidR="00A6470B" w:rsidRPr="00A6470B" w:rsidRDefault="00A6470B" w:rsidP="00352017">
            <w:pPr>
              <w:spacing w:line="276" w:lineRule="auto"/>
            </w:pPr>
          </w:p>
          <w:p w14:paraId="5459A69D" w14:textId="77777777" w:rsidR="00A6470B" w:rsidRPr="00A6470B" w:rsidRDefault="00A6470B" w:rsidP="00352017">
            <w:pPr>
              <w:spacing w:line="276" w:lineRule="auto"/>
              <w:rPr>
                <w:i/>
                <w:iCs/>
              </w:rPr>
            </w:pPr>
            <w:r w:rsidRPr="00A6470B">
              <w:rPr>
                <w:i/>
                <w:iCs/>
              </w:rPr>
              <w:t>Trial Coordination</w:t>
            </w:r>
          </w:p>
          <w:p w14:paraId="7B414809" w14:textId="182DB7C7" w:rsidR="00A6470B" w:rsidRPr="00A6470B" w:rsidRDefault="00A6470B" w:rsidP="00352017">
            <w:pPr>
              <w:spacing w:line="276" w:lineRule="auto"/>
            </w:pPr>
            <w:r w:rsidRPr="00A6470B">
              <w:t>Trial Coordination, governance, leadership and support was provided by the</w:t>
            </w:r>
            <w:r>
              <w:t xml:space="preserve"> </w:t>
            </w:r>
            <w:r w:rsidRPr="00A6470B">
              <w:t>WACHS Trial Centre who arranged appropriate contracts, ethics and governance</w:t>
            </w:r>
            <w:r>
              <w:t xml:space="preserve"> </w:t>
            </w:r>
            <w:r w:rsidRPr="00A6470B">
              <w:t xml:space="preserve">submission, </w:t>
            </w:r>
            <w:proofErr w:type="spellStart"/>
            <w:r w:rsidRPr="00A6470B">
              <w:t>Teletrial</w:t>
            </w:r>
            <w:proofErr w:type="spellEnd"/>
            <w:r w:rsidRPr="00A6470B">
              <w:t xml:space="preserve"> training, reporting and on-site support for the Satellite Site</w:t>
            </w:r>
            <w:r>
              <w:t xml:space="preserve"> </w:t>
            </w:r>
            <w:r w:rsidRPr="00A6470B">
              <w:t>and Principal Investigator.</w:t>
            </w:r>
          </w:p>
          <w:p w14:paraId="1123372B" w14:textId="77777777" w:rsidR="00A6470B" w:rsidRDefault="00A6470B" w:rsidP="00352017">
            <w:pPr>
              <w:spacing w:line="276" w:lineRule="auto"/>
              <w:rPr>
                <w:i/>
                <w:iCs/>
              </w:rPr>
            </w:pPr>
          </w:p>
          <w:p w14:paraId="12758991" w14:textId="2CF0135A" w:rsidR="00A6470B" w:rsidRPr="00A6470B" w:rsidRDefault="00A6470B" w:rsidP="00352017">
            <w:pPr>
              <w:spacing w:line="276" w:lineRule="auto"/>
              <w:rPr>
                <w:i/>
                <w:iCs/>
              </w:rPr>
            </w:pPr>
            <w:r w:rsidRPr="00A6470B">
              <w:rPr>
                <w:i/>
                <w:iCs/>
              </w:rPr>
              <w:t>Principal Investigator Oversight</w:t>
            </w:r>
          </w:p>
          <w:p w14:paraId="0A3CBF4B" w14:textId="59E6DA47" w:rsidR="00A6470B" w:rsidRPr="00A6470B" w:rsidRDefault="00A6470B" w:rsidP="00352017">
            <w:pPr>
              <w:spacing w:line="276" w:lineRule="auto"/>
            </w:pPr>
            <w:r w:rsidRPr="00A6470B">
              <w:t>The Principal Investigator travelled to the regional health service for the first week</w:t>
            </w:r>
            <w:r>
              <w:t xml:space="preserve"> </w:t>
            </w:r>
            <w:r w:rsidRPr="00A6470B">
              <w:t>of the trial to conduct training, site initiation visit (SIV), delegation and consent the</w:t>
            </w:r>
            <w:r>
              <w:t xml:space="preserve"> </w:t>
            </w:r>
            <w:r w:rsidRPr="00A6470B">
              <w:t>first patients. Ongoing oversight was provided through PI review of blood results,</w:t>
            </w:r>
            <w:r>
              <w:t xml:space="preserve"> </w:t>
            </w:r>
            <w:r w:rsidRPr="00A6470B">
              <w:t xml:space="preserve">data on </w:t>
            </w:r>
            <w:proofErr w:type="gramStart"/>
            <w:r w:rsidRPr="00A6470B">
              <w:t>entered into</w:t>
            </w:r>
            <w:proofErr w:type="gramEnd"/>
            <w:r w:rsidRPr="00A6470B">
              <w:t xml:space="preserve"> the electronic Case Report Form (eCRF) and via </w:t>
            </w:r>
            <w:proofErr w:type="spellStart"/>
            <w:r w:rsidRPr="00A6470B">
              <w:t>self monitoring</w:t>
            </w:r>
            <w:proofErr w:type="spellEnd"/>
            <w:r>
              <w:t xml:space="preserve"> </w:t>
            </w:r>
            <w:r w:rsidRPr="00A6470B">
              <w:t>visit reporting by the WACHS Trial Centre.</w:t>
            </w:r>
          </w:p>
          <w:p w14:paraId="2401F1F9" w14:textId="578C68C5" w:rsidR="00200BBD" w:rsidRPr="006D66DC" w:rsidRDefault="00A6470B" w:rsidP="00352017">
            <w:pPr>
              <w:spacing w:line="276" w:lineRule="auto"/>
            </w:pPr>
            <w:r w:rsidRPr="00A6470B">
              <w:t>The Satellite Site design was not built into the protocol, rather it was detailed in the</w:t>
            </w:r>
            <w:r>
              <w:t xml:space="preserve"> </w:t>
            </w:r>
            <w:proofErr w:type="spellStart"/>
            <w:r w:rsidRPr="00A6470B">
              <w:t>Teletrial</w:t>
            </w:r>
            <w:proofErr w:type="spellEnd"/>
            <w:r w:rsidRPr="00A6470B">
              <w:t xml:space="preserve"> Supervision Plan.</w:t>
            </w:r>
          </w:p>
        </w:tc>
      </w:tr>
    </w:tbl>
    <w:p w14:paraId="6D800423" w14:textId="77777777" w:rsidR="00200BBD" w:rsidRPr="002E61B5" w:rsidRDefault="00200BBD" w:rsidP="00352017">
      <w:pPr>
        <w:pStyle w:val="Heading2"/>
        <w:spacing w:line="276" w:lineRule="auto"/>
        <w:rPr>
          <w:sz w:val="36"/>
          <w:szCs w:val="24"/>
        </w:rPr>
      </w:pPr>
      <w:r w:rsidRPr="002E61B5">
        <w:rPr>
          <w:sz w:val="36"/>
          <w:szCs w:val="24"/>
        </w:rPr>
        <w:lastRenderedPageBreak/>
        <w:t>Impact of flexible trial elements on the conduct of the trial.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2"/>
        <w:gridCol w:w="6884"/>
      </w:tblGrid>
      <w:tr w:rsidR="00200BBD" w:rsidRPr="004D3DA9" w14:paraId="2FED768A" w14:textId="77777777" w:rsidTr="002E61B5">
        <w:trPr>
          <w:trHeight w:val="567"/>
        </w:trPr>
        <w:tc>
          <w:tcPr>
            <w:tcW w:w="2112" w:type="dxa"/>
            <w:shd w:val="clear" w:color="auto" w:fill="E8E8E8" w:themeFill="background2"/>
          </w:tcPr>
          <w:p w14:paraId="632BB577" w14:textId="77777777" w:rsidR="00200BBD" w:rsidRPr="00C20036" w:rsidRDefault="00200BBD" w:rsidP="00352017">
            <w:pPr>
              <w:spacing w:after="160" w:line="276" w:lineRule="auto"/>
              <w:rPr>
                <w:b/>
                <w:bCs/>
                <w:sz w:val="32"/>
                <w:szCs w:val="32"/>
              </w:rPr>
            </w:pPr>
            <w:r w:rsidRPr="00C20036">
              <w:rPr>
                <w:b/>
                <w:bCs/>
                <w:sz w:val="32"/>
                <w:szCs w:val="32"/>
              </w:rPr>
              <w:t>Trial context</w:t>
            </w:r>
          </w:p>
        </w:tc>
        <w:tc>
          <w:tcPr>
            <w:tcW w:w="6884" w:type="dxa"/>
            <w:shd w:val="clear" w:color="auto" w:fill="E8E8E8" w:themeFill="background2"/>
          </w:tcPr>
          <w:p w14:paraId="1EDD6EB9" w14:textId="77777777" w:rsidR="00200BBD" w:rsidRPr="00C20036" w:rsidRDefault="00200BBD" w:rsidP="00352017">
            <w:pPr>
              <w:spacing w:after="160" w:line="276" w:lineRule="auto"/>
              <w:rPr>
                <w:b/>
                <w:bCs/>
                <w:sz w:val="32"/>
                <w:szCs w:val="32"/>
              </w:rPr>
            </w:pPr>
            <w:r>
              <w:rPr>
                <w:b/>
                <w:bCs/>
                <w:sz w:val="32"/>
                <w:szCs w:val="32"/>
              </w:rPr>
              <w:t>Description of impact</w:t>
            </w:r>
          </w:p>
        </w:tc>
      </w:tr>
      <w:tr w:rsidR="00200BBD" w:rsidRPr="004D3DA9" w14:paraId="2F24E6C1" w14:textId="77777777" w:rsidTr="002E61B5">
        <w:trPr>
          <w:trHeight w:val="567"/>
        </w:trPr>
        <w:tc>
          <w:tcPr>
            <w:tcW w:w="2112" w:type="dxa"/>
          </w:tcPr>
          <w:p w14:paraId="43E962FA" w14:textId="77777777" w:rsidR="00200BBD" w:rsidRPr="00394D3A" w:rsidRDefault="00200BBD" w:rsidP="00352017">
            <w:pPr>
              <w:spacing w:after="160" w:line="276" w:lineRule="auto"/>
            </w:pPr>
            <w:r>
              <w:t>Data collection</w:t>
            </w:r>
          </w:p>
        </w:tc>
        <w:tc>
          <w:tcPr>
            <w:tcW w:w="6884" w:type="dxa"/>
          </w:tcPr>
          <w:p w14:paraId="6B86D84D" w14:textId="27C4D9B4" w:rsidR="00200BBD" w:rsidRPr="00394D3A" w:rsidRDefault="000F64A2" w:rsidP="00352017">
            <w:pPr>
              <w:spacing w:line="276" w:lineRule="auto"/>
            </w:pPr>
            <w:r w:rsidRPr="000F64A2">
              <w:t>Including a Regional, Rural and Remote (RRR) satellite site enabled the</w:t>
            </w:r>
            <w:r>
              <w:t xml:space="preserve"> </w:t>
            </w:r>
            <w:r w:rsidRPr="000F64A2">
              <w:t>inclusion of data from country patients who are overrepresented in this</w:t>
            </w:r>
            <w:r>
              <w:t xml:space="preserve"> </w:t>
            </w:r>
            <w:r w:rsidRPr="000F64A2">
              <w:t>therapeutic area. Strengthening the validity of trial data and applicability to</w:t>
            </w:r>
            <w:r>
              <w:t xml:space="preserve"> </w:t>
            </w:r>
            <w:r w:rsidRPr="000F64A2">
              <w:t>the real-world setting.</w:t>
            </w:r>
          </w:p>
        </w:tc>
      </w:tr>
      <w:tr w:rsidR="00200BBD" w:rsidRPr="004D3DA9" w14:paraId="49DC2E28" w14:textId="77777777" w:rsidTr="002E61B5">
        <w:trPr>
          <w:trHeight w:val="567"/>
        </w:trPr>
        <w:tc>
          <w:tcPr>
            <w:tcW w:w="2112" w:type="dxa"/>
          </w:tcPr>
          <w:p w14:paraId="35B5396E" w14:textId="77777777" w:rsidR="00200BBD" w:rsidRPr="00394D3A" w:rsidRDefault="00200BBD" w:rsidP="00352017">
            <w:pPr>
              <w:spacing w:after="160" w:line="276" w:lineRule="auto"/>
            </w:pPr>
            <w:r>
              <w:t>Recruitment and retention</w:t>
            </w:r>
          </w:p>
        </w:tc>
        <w:tc>
          <w:tcPr>
            <w:tcW w:w="6884" w:type="dxa"/>
          </w:tcPr>
          <w:p w14:paraId="0468F719" w14:textId="5C6B7E09" w:rsidR="00200BBD" w:rsidRPr="00394D3A" w:rsidRDefault="000F64A2" w:rsidP="00352017">
            <w:pPr>
              <w:spacing w:line="276" w:lineRule="auto"/>
            </w:pPr>
            <w:r w:rsidRPr="000F64A2">
              <w:t>Addition of a satellite site facilitated the rapid recruitment of 10 country</w:t>
            </w:r>
            <w:r>
              <w:t xml:space="preserve"> </w:t>
            </w:r>
            <w:r w:rsidRPr="000F64A2">
              <w:t>participants who would have otherwise been unable to participate</w:t>
            </w:r>
            <w:r>
              <w:t>.</w:t>
            </w:r>
          </w:p>
        </w:tc>
      </w:tr>
      <w:tr w:rsidR="00200BBD" w:rsidRPr="004D3DA9" w14:paraId="26515904" w14:textId="77777777" w:rsidTr="002E61B5">
        <w:trPr>
          <w:trHeight w:val="567"/>
        </w:trPr>
        <w:tc>
          <w:tcPr>
            <w:tcW w:w="2112" w:type="dxa"/>
          </w:tcPr>
          <w:p w14:paraId="1EE39797" w14:textId="77777777" w:rsidR="00200BBD" w:rsidRDefault="00200BBD" w:rsidP="00352017">
            <w:pPr>
              <w:spacing w:line="276" w:lineRule="auto"/>
            </w:pPr>
            <w:r>
              <w:t>Review process</w:t>
            </w:r>
          </w:p>
        </w:tc>
        <w:tc>
          <w:tcPr>
            <w:tcW w:w="6884" w:type="dxa"/>
          </w:tcPr>
          <w:p w14:paraId="1C3B3447" w14:textId="49271CAA" w:rsidR="00200BBD" w:rsidRPr="006D66DC" w:rsidRDefault="000F64A2" w:rsidP="00352017">
            <w:pPr>
              <w:spacing w:line="276" w:lineRule="auto"/>
            </w:pPr>
            <w:r w:rsidRPr="000F64A2">
              <w:t>The “site” was the site of the Principal Investigator who had responsibility for</w:t>
            </w:r>
            <w:r>
              <w:t xml:space="preserve"> </w:t>
            </w:r>
            <w:r w:rsidRPr="000F64A2">
              <w:t>activities conducted at a separate geographical location. The trial site was</w:t>
            </w:r>
            <w:r>
              <w:t xml:space="preserve"> </w:t>
            </w:r>
            <w:r w:rsidRPr="000F64A2">
              <w:t xml:space="preserve">named the primary </w:t>
            </w:r>
            <w:proofErr w:type="gramStart"/>
            <w:r w:rsidRPr="000F64A2">
              <w:t>site</w:t>
            </w:r>
            <w:proofErr w:type="gramEnd"/>
            <w:r w:rsidRPr="000F64A2">
              <w:t xml:space="preserve"> and the country site was named a satellite site.</w:t>
            </w:r>
          </w:p>
        </w:tc>
      </w:tr>
      <w:tr w:rsidR="00200BBD" w:rsidRPr="004D3DA9" w14:paraId="3F48AC72" w14:textId="77777777" w:rsidTr="002E61B5">
        <w:trPr>
          <w:trHeight w:val="567"/>
        </w:trPr>
        <w:tc>
          <w:tcPr>
            <w:tcW w:w="2112" w:type="dxa"/>
          </w:tcPr>
          <w:p w14:paraId="19D0C466" w14:textId="77777777" w:rsidR="00200BBD" w:rsidRDefault="00200BBD" w:rsidP="00352017">
            <w:pPr>
              <w:spacing w:line="276" w:lineRule="auto"/>
            </w:pPr>
            <w:r>
              <w:lastRenderedPageBreak/>
              <w:t>Contracts</w:t>
            </w:r>
          </w:p>
        </w:tc>
        <w:tc>
          <w:tcPr>
            <w:tcW w:w="6884" w:type="dxa"/>
          </w:tcPr>
          <w:p w14:paraId="790B3DA4" w14:textId="1BE01B8A" w:rsidR="00200BBD" w:rsidRPr="006D66DC" w:rsidRDefault="00265D2B" w:rsidP="00352017">
            <w:pPr>
              <w:spacing w:line="276" w:lineRule="auto"/>
            </w:pPr>
            <w:proofErr w:type="spellStart"/>
            <w:r w:rsidRPr="00265D2B">
              <w:t>Teletrial</w:t>
            </w:r>
            <w:proofErr w:type="spellEnd"/>
            <w:r w:rsidRPr="00265D2B">
              <w:t xml:space="preserve"> sub-contracts used between the Primary and Satellite sites.</w:t>
            </w:r>
          </w:p>
        </w:tc>
      </w:tr>
      <w:tr w:rsidR="00200BBD" w:rsidRPr="004D3DA9" w14:paraId="7E374931" w14:textId="77777777" w:rsidTr="002E61B5">
        <w:trPr>
          <w:trHeight w:val="567"/>
        </w:trPr>
        <w:tc>
          <w:tcPr>
            <w:tcW w:w="2112" w:type="dxa"/>
          </w:tcPr>
          <w:p w14:paraId="620C7298" w14:textId="77777777" w:rsidR="00200BBD" w:rsidRDefault="00200BBD" w:rsidP="00352017">
            <w:pPr>
              <w:spacing w:line="276" w:lineRule="auto"/>
            </w:pPr>
            <w:r>
              <w:t>Finances</w:t>
            </w:r>
          </w:p>
        </w:tc>
        <w:tc>
          <w:tcPr>
            <w:tcW w:w="6884" w:type="dxa"/>
          </w:tcPr>
          <w:p w14:paraId="1295219D" w14:textId="4016C39E" w:rsidR="00200BBD" w:rsidRPr="006D66DC" w:rsidRDefault="00265D2B" w:rsidP="00352017">
            <w:pPr>
              <w:spacing w:line="276" w:lineRule="auto"/>
            </w:pPr>
            <w:r w:rsidRPr="00265D2B">
              <w:t xml:space="preserve">Utilising that </w:t>
            </w:r>
            <w:proofErr w:type="spellStart"/>
            <w:r w:rsidRPr="00265D2B">
              <w:t>Teletrial</w:t>
            </w:r>
            <w:proofErr w:type="spellEnd"/>
            <w:r w:rsidRPr="00265D2B">
              <w:t xml:space="preserve"> model allowed the primary site to receive $5000 in</w:t>
            </w:r>
            <w:r>
              <w:t xml:space="preserve"> </w:t>
            </w:r>
            <w:proofErr w:type="spellStart"/>
            <w:r w:rsidRPr="00265D2B">
              <w:t>Teletrial</w:t>
            </w:r>
            <w:proofErr w:type="spellEnd"/>
            <w:r w:rsidRPr="00265D2B">
              <w:t xml:space="preserve"> support payments and the satellite site to receive $700.00 per</w:t>
            </w:r>
            <w:r>
              <w:t xml:space="preserve"> </w:t>
            </w:r>
            <w:r w:rsidRPr="00265D2B">
              <w:t>patient. This was supplemented by the provision of deployed clinical trial</w:t>
            </w:r>
            <w:r w:rsidR="001B2BAF">
              <w:t xml:space="preserve"> </w:t>
            </w:r>
            <w:r w:rsidRPr="00265D2B">
              <w:t xml:space="preserve">coordinators to site funded by the Australian </w:t>
            </w:r>
            <w:proofErr w:type="spellStart"/>
            <w:r w:rsidRPr="00265D2B">
              <w:t>Teletrial</w:t>
            </w:r>
            <w:proofErr w:type="spellEnd"/>
            <w:r w:rsidRPr="00265D2B">
              <w:t xml:space="preserve"> Program and in-kind</w:t>
            </w:r>
            <w:r>
              <w:t xml:space="preserve"> </w:t>
            </w:r>
            <w:r w:rsidRPr="00265D2B">
              <w:t>support by hospital staff. Without this support it would have been difficult</w:t>
            </w:r>
            <w:r>
              <w:t xml:space="preserve"> </w:t>
            </w:r>
            <w:r w:rsidRPr="00265D2B">
              <w:t>for the Primary site to set up the Satellite Site and for the Satellite Site to be</w:t>
            </w:r>
            <w:r>
              <w:t xml:space="preserve"> </w:t>
            </w:r>
            <w:r w:rsidRPr="00265D2B">
              <w:t>included.</w:t>
            </w:r>
          </w:p>
        </w:tc>
      </w:tr>
    </w:tbl>
    <w:p w14:paraId="55D17813" w14:textId="77777777" w:rsidR="00200BBD" w:rsidRPr="002E61B5" w:rsidRDefault="00200BBD" w:rsidP="00352017">
      <w:pPr>
        <w:pStyle w:val="Heading2"/>
        <w:spacing w:line="276" w:lineRule="auto"/>
        <w:rPr>
          <w:sz w:val="36"/>
          <w:szCs w:val="24"/>
        </w:rPr>
      </w:pPr>
      <w:r w:rsidRPr="002E61B5">
        <w:rPr>
          <w:sz w:val="36"/>
          <w:szCs w:val="24"/>
        </w:rPr>
        <w:t>Overall thoughts</w:t>
      </w:r>
    </w:p>
    <w:p w14:paraId="72AFB77B" w14:textId="21D0412D" w:rsidR="001E5788" w:rsidRPr="001E5788" w:rsidRDefault="001E5788" w:rsidP="00352017">
      <w:pPr>
        <w:spacing w:line="276" w:lineRule="auto"/>
      </w:pPr>
      <w:r w:rsidRPr="001E5788">
        <w:t>The strength of the approach was improved access to a broader group of patients enabling</w:t>
      </w:r>
      <w:r>
        <w:t xml:space="preserve"> </w:t>
      </w:r>
      <w:r w:rsidRPr="001E5788">
        <w:t>representation from country patients and testing of the intervention in a real-world setting. Adding a</w:t>
      </w:r>
      <w:r>
        <w:t xml:space="preserve"> </w:t>
      </w:r>
      <w:r w:rsidRPr="001E5788">
        <w:t>satellite site also enabled rapid recruitment of additional patients and upskilling of the regional</w:t>
      </w:r>
      <w:r>
        <w:t xml:space="preserve"> </w:t>
      </w:r>
      <w:r w:rsidRPr="001E5788">
        <w:t>workforce in clinical trial conduct.</w:t>
      </w:r>
    </w:p>
    <w:p w14:paraId="589ACBA1" w14:textId="294AAAC1" w:rsidR="00200BBD" w:rsidRPr="00265D2B" w:rsidRDefault="001E5788" w:rsidP="00352017">
      <w:pPr>
        <w:spacing w:line="276" w:lineRule="auto"/>
      </w:pPr>
      <w:r w:rsidRPr="001E5788">
        <w:t>To streamline the approach and improve timelines, detailed stakeholder engagement with all parties</w:t>
      </w:r>
      <w:r>
        <w:t xml:space="preserve"> </w:t>
      </w:r>
      <w:r w:rsidRPr="001E5788">
        <w:t>involved would be commenced prior to the proposal of a specific trial.</w:t>
      </w:r>
    </w:p>
    <w:sectPr w:rsidR="00200BBD" w:rsidRPr="00265D2B" w:rsidSect="007F6DE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85D3" w14:textId="77777777" w:rsidR="0036439C" w:rsidRDefault="0036439C" w:rsidP="006449C5">
      <w:pPr>
        <w:spacing w:after="0" w:line="240" w:lineRule="auto"/>
      </w:pPr>
      <w:r>
        <w:separator/>
      </w:r>
    </w:p>
  </w:endnote>
  <w:endnote w:type="continuationSeparator" w:id="0">
    <w:p w14:paraId="146D9D61" w14:textId="77777777" w:rsidR="0036439C" w:rsidRDefault="0036439C" w:rsidP="0064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EC58" w14:textId="77777777" w:rsidR="00EF088F" w:rsidRDefault="00EF0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lang w:val="en-GB"/>
      </w:rPr>
      <w:id w:val="-832291812"/>
      <w:docPartObj>
        <w:docPartGallery w:val="Page Numbers (Bottom of Page)"/>
        <w:docPartUnique/>
      </w:docPartObj>
    </w:sdtPr>
    <w:sdtEndPr>
      <w:rPr>
        <w:lang w:val="en-AU"/>
      </w:rPr>
    </w:sdtEndPr>
    <w:sdtContent>
      <w:p w14:paraId="7685ABF4" w14:textId="3DCB06F8" w:rsidR="0046425C" w:rsidRPr="0046425C" w:rsidRDefault="00231211">
        <w:pPr>
          <w:pStyle w:val="Footer"/>
          <w:jc w:val="right"/>
          <w:rPr>
            <w:rFonts w:eastAsiaTheme="majorEastAsia" w:cstheme="majorBidi"/>
          </w:rPr>
        </w:pPr>
        <w:r>
          <w:rPr>
            <w:rFonts w:eastAsiaTheme="majorEastAsia" w:cstheme="majorBidi"/>
            <w:lang w:val="en-GB"/>
          </w:rPr>
          <w:fldChar w:fldCharType="begin"/>
        </w:r>
        <w:r>
          <w:rPr>
            <w:rFonts w:eastAsiaTheme="majorEastAsia" w:cstheme="majorBidi"/>
            <w:lang w:val="en-GB"/>
          </w:rPr>
          <w:instrText xml:space="preserve"> FILENAME \* MERGEFORMAT </w:instrText>
        </w:r>
        <w:r>
          <w:rPr>
            <w:rFonts w:eastAsiaTheme="majorEastAsia" w:cstheme="majorBidi"/>
            <w:lang w:val="en-GB"/>
          </w:rPr>
          <w:fldChar w:fldCharType="separate"/>
        </w:r>
        <w:r w:rsidR="00EF088F">
          <w:rPr>
            <w:rFonts w:eastAsiaTheme="majorEastAsia" w:cstheme="majorBidi"/>
            <w:noProof/>
            <w:lang w:val="en-GB"/>
          </w:rPr>
          <w:t>Flexible-Trial-Delivery_Case-Studies_May_2026_accessible_v1</w:t>
        </w:r>
        <w:r>
          <w:rPr>
            <w:rFonts w:eastAsiaTheme="majorEastAsia" w:cstheme="majorBidi"/>
            <w:lang w:val="en-GB"/>
          </w:rPr>
          <w:fldChar w:fldCharType="end"/>
        </w:r>
        <w:r>
          <w:rPr>
            <w:rFonts w:eastAsiaTheme="majorEastAsia" w:cstheme="majorBidi"/>
            <w:lang w:val="en-GB"/>
          </w:rPr>
          <w:tab/>
        </w:r>
        <w:r w:rsidR="0046425C" w:rsidRPr="0046425C">
          <w:rPr>
            <w:rFonts w:eastAsiaTheme="majorEastAsia" w:cstheme="majorBidi"/>
            <w:lang w:val="en-GB"/>
          </w:rPr>
          <w:t xml:space="preserve">pg. </w:t>
        </w:r>
        <w:r w:rsidR="0046425C" w:rsidRPr="0046425C">
          <w:rPr>
            <w:rFonts w:eastAsiaTheme="minorEastAsia" w:cs="Times New Roman"/>
          </w:rPr>
          <w:fldChar w:fldCharType="begin"/>
        </w:r>
        <w:r w:rsidR="0046425C" w:rsidRPr="0046425C">
          <w:instrText>PAGE    \* MERGEFORMAT</w:instrText>
        </w:r>
        <w:r w:rsidR="0046425C" w:rsidRPr="0046425C">
          <w:rPr>
            <w:rFonts w:eastAsiaTheme="minorEastAsia" w:cs="Times New Roman"/>
          </w:rPr>
          <w:fldChar w:fldCharType="separate"/>
        </w:r>
        <w:r w:rsidR="0046425C" w:rsidRPr="0046425C">
          <w:rPr>
            <w:rFonts w:eastAsiaTheme="majorEastAsia" w:cstheme="majorBidi"/>
            <w:lang w:val="en-GB"/>
          </w:rPr>
          <w:t>2</w:t>
        </w:r>
        <w:r w:rsidR="0046425C" w:rsidRPr="0046425C">
          <w:rPr>
            <w:rFonts w:eastAsiaTheme="majorEastAsia" w:cstheme="majorBidi"/>
          </w:rPr>
          <w:fldChar w:fldCharType="end"/>
        </w:r>
      </w:p>
    </w:sdtContent>
  </w:sdt>
  <w:p w14:paraId="036594B8" w14:textId="4095F5F1" w:rsidR="00E87545" w:rsidRPr="0046425C" w:rsidRDefault="00E87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0D9E" w14:textId="77777777" w:rsidR="00EF088F" w:rsidRDefault="00EF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2A2D" w14:textId="77777777" w:rsidR="0036439C" w:rsidRDefault="0036439C" w:rsidP="006449C5">
      <w:pPr>
        <w:spacing w:after="0" w:line="240" w:lineRule="auto"/>
      </w:pPr>
      <w:r>
        <w:separator/>
      </w:r>
    </w:p>
  </w:footnote>
  <w:footnote w:type="continuationSeparator" w:id="0">
    <w:p w14:paraId="710CEC67" w14:textId="77777777" w:rsidR="0036439C" w:rsidRDefault="0036439C" w:rsidP="0064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D33B" w14:textId="77777777" w:rsidR="00EF088F" w:rsidRDefault="00EF0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C272" w14:textId="77777777" w:rsidR="00EF088F" w:rsidRDefault="00EF0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856" w14:textId="77777777" w:rsidR="00EF088F" w:rsidRDefault="00EF0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954"/>
    <w:multiLevelType w:val="multilevel"/>
    <w:tmpl w:val="FB78D280"/>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52903"/>
    <w:multiLevelType w:val="multilevel"/>
    <w:tmpl w:val="25405EF6"/>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b/>
        <w:i w:val="0"/>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64D9"/>
    <w:multiLevelType w:val="multilevel"/>
    <w:tmpl w:val="05FE345C"/>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970CF"/>
    <w:multiLevelType w:val="hybridMultilevel"/>
    <w:tmpl w:val="14BC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444AD"/>
    <w:multiLevelType w:val="hybridMultilevel"/>
    <w:tmpl w:val="C0783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B07A6B"/>
    <w:multiLevelType w:val="multilevel"/>
    <w:tmpl w:val="DBA0309A"/>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start w:val="1"/>
      <w:numFmt w:val="bullet"/>
      <w:lvlText w:val=""/>
      <w:lvlJc w:val="left"/>
      <w:pPr>
        <w:ind w:left="2160" w:hanging="360"/>
      </w:pPr>
      <w:rPr>
        <w:rFonts w:ascii="Wingdings" w:hAnsi="Wingdings" w:hint="default"/>
        <w:b/>
        <w:i w:val="0"/>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04EBE"/>
    <w:multiLevelType w:val="multilevel"/>
    <w:tmpl w:val="C7AA55E6"/>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700D8"/>
    <w:multiLevelType w:val="multilevel"/>
    <w:tmpl w:val="C4906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0B6683"/>
    <w:multiLevelType w:val="hybridMultilevel"/>
    <w:tmpl w:val="54EEC8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B6497"/>
    <w:multiLevelType w:val="hybridMultilevel"/>
    <w:tmpl w:val="8AFEA504"/>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3337E5"/>
    <w:multiLevelType w:val="multilevel"/>
    <w:tmpl w:val="A20894B2"/>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A2BEA"/>
    <w:multiLevelType w:val="hybridMultilevel"/>
    <w:tmpl w:val="007A9D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8A29AD"/>
    <w:multiLevelType w:val="hybridMultilevel"/>
    <w:tmpl w:val="25E66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9F69CD"/>
    <w:multiLevelType w:val="multilevel"/>
    <w:tmpl w:val="C960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C0043"/>
    <w:multiLevelType w:val="hybridMultilevel"/>
    <w:tmpl w:val="8222E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264A80"/>
    <w:multiLevelType w:val="hybridMultilevel"/>
    <w:tmpl w:val="8EDC3334"/>
    <w:lvl w:ilvl="0" w:tplc="89BA10AC">
      <w:start w:val="1"/>
      <w:numFmt w:val="bullet"/>
      <w:lvlText w:val=""/>
      <w:lvlJc w:val="left"/>
      <w:pPr>
        <w:ind w:left="769" w:hanging="360"/>
      </w:pPr>
      <w:rPr>
        <w:rFonts w:ascii="Wingdings" w:hAnsi="Wingdings" w:hint="default"/>
        <w:b/>
        <w:i w:val="0"/>
        <w:sz w:val="32"/>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6" w15:restartNumberingAfterBreak="0">
    <w:nsid w:val="34846FE0"/>
    <w:multiLevelType w:val="multilevel"/>
    <w:tmpl w:val="258270BC"/>
    <w:lvl w:ilvl="0">
      <w:start w:val="1"/>
      <w:numFmt w:val="bullet"/>
      <w:lvlText w:val=""/>
      <w:lvlJc w:val="left"/>
      <w:pPr>
        <w:tabs>
          <w:tab w:val="num" w:pos="360"/>
        </w:tabs>
        <w:ind w:left="360" w:hanging="360"/>
      </w:pPr>
      <w:rPr>
        <w:rFonts w:ascii="Symbol" w:hAnsi="Symbol"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80143C2"/>
    <w:multiLevelType w:val="hybridMultilevel"/>
    <w:tmpl w:val="D492658C"/>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6413A5"/>
    <w:multiLevelType w:val="hybridMultilevel"/>
    <w:tmpl w:val="AD2CF530"/>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B5278"/>
    <w:multiLevelType w:val="multilevel"/>
    <w:tmpl w:val="8756769E"/>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E2BE1"/>
    <w:multiLevelType w:val="multilevel"/>
    <w:tmpl w:val="4008D57A"/>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B4258"/>
    <w:multiLevelType w:val="hybridMultilevel"/>
    <w:tmpl w:val="01E620D6"/>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50189E"/>
    <w:multiLevelType w:val="hybridMultilevel"/>
    <w:tmpl w:val="12187458"/>
    <w:lvl w:ilvl="0" w:tplc="89BA10AC">
      <w:start w:val="1"/>
      <w:numFmt w:val="bullet"/>
      <w:lvlText w:val=""/>
      <w:lvlJc w:val="left"/>
      <w:pPr>
        <w:ind w:left="720" w:hanging="360"/>
      </w:pPr>
      <w:rPr>
        <w:rFonts w:ascii="Wingdings" w:hAnsi="Wingdings" w:hint="default"/>
        <w:b/>
        <w:i w:val="0"/>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292764"/>
    <w:multiLevelType w:val="hybridMultilevel"/>
    <w:tmpl w:val="E42CF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412885"/>
    <w:multiLevelType w:val="hybridMultilevel"/>
    <w:tmpl w:val="4F66942E"/>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25FCF"/>
    <w:multiLevelType w:val="multilevel"/>
    <w:tmpl w:val="654ED1EE"/>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ind w:left="1440" w:hanging="360"/>
      </w:pPr>
      <w:rPr>
        <w:rFonts w:ascii="Courier New" w:hAnsi="Courier New" w:hint="default"/>
        <w:b/>
        <w:i w:val="0"/>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63B5A"/>
    <w:multiLevelType w:val="multilevel"/>
    <w:tmpl w:val="DB387154"/>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3A75E0"/>
    <w:multiLevelType w:val="hybridMultilevel"/>
    <w:tmpl w:val="C42EBFA4"/>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746DA0"/>
    <w:multiLevelType w:val="hybridMultilevel"/>
    <w:tmpl w:val="B4022562"/>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477E42"/>
    <w:multiLevelType w:val="hybridMultilevel"/>
    <w:tmpl w:val="94DC5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1B7A42"/>
    <w:multiLevelType w:val="hybridMultilevel"/>
    <w:tmpl w:val="83AAA624"/>
    <w:lvl w:ilvl="0" w:tplc="5F12886A">
      <w:start w:val="1"/>
      <w:numFmt w:val="bullet"/>
      <w:lvlText w:val=""/>
      <w:lvlJc w:val="left"/>
      <w:pPr>
        <w:ind w:left="360" w:hanging="360"/>
      </w:pPr>
      <w:rPr>
        <w:rFonts w:ascii="Symbol" w:hAnsi="Symbol" w:hint="default"/>
        <w:sz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73327D"/>
    <w:multiLevelType w:val="hybridMultilevel"/>
    <w:tmpl w:val="3F9EF4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774D7"/>
    <w:multiLevelType w:val="multilevel"/>
    <w:tmpl w:val="6100B8A6"/>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A4CBE"/>
    <w:multiLevelType w:val="hybridMultilevel"/>
    <w:tmpl w:val="CC6E2F1A"/>
    <w:lvl w:ilvl="0" w:tplc="89BA10AC">
      <w:start w:val="1"/>
      <w:numFmt w:val="bullet"/>
      <w:lvlText w:val=""/>
      <w:lvlJc w:val="left"/>
      <w:pPr>
        <w:ind w:left="720" w:hanging="360"/>
      </w:pPr>
      <w:rPr>
        <w:rFonts w:ascii="Wingdings" w:hAnsi="Wingdings" w:hint="default"/>
        <w:b/>
        <w:i w:val="0"/>
        <w:sz w:val="32"/>
      </w:rPr>
    </w:lvl>
    <w:lvl w:ilvl="1" w:tplc="89BA10AC">
      <w:start w:val="1"/>
      <w:numFmt w:val="bullet"/>
      <w:lvlText w:val=""/>
      <w:lvlJc w:val="left"/>
      <w:pPr>
        <w:ind w:left="1440" w:hanging="360"/>
      </w:pPr>
      <w:rPr>
        <w:rFonts w:ascii="Wingdings" w:hAnsi="Wingdings" w:hint="default"/>
        <w:b/>
        <w:i w:val="0"/>
        <w:sz w:val="3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F312E2"/>
    <w:multiLevelType w:val="hybridMultilevel"/>
    <w:tmpl w:val="759A2CA4"/>
    <w:lvl w:ilvl="0" w:tplc="89BA10AC">
      <w:start w:val="1"/>
      <w:numFmt w:val="bullet"/>
      <w:lvlText w:val=""/>
      <w:lvlJc w:val="left"/>
      <w:pPr>
        <w:ind w:left="720" w:hanging="360"/>
      </w:pPr>
      <w:rPr>
        <w:rFonts w:ascii="Wingdings" w:hAnsi="Wingdings" w:hint="default"/>
        <w:b/>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E11E14"/>
    <w:multiLevelType w:val="hybridMultilevel"/>
    <w:tmpl w:val="4FB081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661E2F"/>
    <w:multiLevelType w:val="hybridMultilevel"/>
    <w:tmpl w:val="73E0DF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007629"/>
    <w:multiLevelType w:val="hybridMultilevel"/>
    <w:tmpl w:val="15060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AE5B3B"/>
    <w:multiLevelType w:val="multilevel"/>
    <w:tmpl w:val="C21A0B9C"/>
    <w:lvl w:ilvl="0">
      <w:start w:val="1"/>
      <w:numFmt w:val="bullet"/>
      <w:lvlText w:val=""/>
      <w:lvlJc w:val="left"/>
      <w:pPr>
        <w:tabs>
          <w:tab w:val="num" w:pos="720"/>
        </w:tabs>
        <w:ind w:left="720" w:hanging="360"/>
      </w:pPr>
      <w:rPr>
        <w:rFonts w:ascii="Wingdings" w:hAnsi="Wingdings" w:hint="default"/>
        <w:b/>
        <w:i w:val="0"/>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3650D"/>
    <w:multiLevelType w:val="multilevel"/>
    <w:tmpl w:val="0ECE458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3E4C64"/>
    <w:multiLevelType w:val="hybridMultilevel"/>
    <w:tmpl w:val="0B24A27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CD246B5"/>
    <w:multiLevelType w:val="hybridMultilevel"/>
    <w:tmpl w:val="8F4E5102"/>
    <w:lvl w:ilvl="0" w:tplc="027487CE">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3229913">
    <w:abstractNumId w:val="36"/>
  </w:num>
  <w:num w:numId="2" w16cid:durableId="445583116">
    <w:abstractNumId w:val="35"/>
  </w:num>
  <w:num w:numId="3" w16cid:durableId="20403344">
    <w:abstractNumId w:val="31"/>
  </w:num>
  <w:num w:numId="4" w16cid:durableId="1785349159">
    <w:abstractNumId w:val="5"/>
  </w:num>
  <w:num w:numId="5" w16cid:durableId="479080110">
    <w:abstractNumId w:val="20"/>
  </w:num>
  <w:num w:numId="6" w16cid:durableId="37317839">
    <w:abstractNumId w:val="6"/>
  </w:num>
  <w:num w:numId="7" w16cid:durableId="1510489740">
    <w:abstractNumId w:val="10"/>
  </w:num>
  <w:num w:numId="8" w16cid:durableId="1356685739">
    <w:abstractNumId w:val="25"/>
  </w:num>
  <w:num w:numId="9" w16cid:durableId="99956839">
    <w:abstractNumId w:val="7"/>
  </w:num>
  <w:num w:numId="10" w16cid:durableId="1618834926">
    <w:abstractNumId w:val="39"/>
  </w:num>
  <w:num w:numId="11" w16cid:durableId="41372518">
    <w:abstractNumId w:val="30"/>
  </w:num>
  <w:num w:numId="12" w16cid:durableId="541946705">
    <w:abstractNumId w:val="32"/>
  </w:num>
  <w:num w:numId="13" w16cid:durableId="797989693">
    <w:abstractNumId w:val="26"/>
  </w:num>
  <w:num w:numId="14" w16cid:durableId="631443083">
    <w:abstractNumId w:val="16"/>
  </w:num>
  <w:num w:numId="15" w16cid:durableId="563491992">
    <w:abstractNumId w:val="13"/>
  </w:num>
  <w:num w:numId="16" w16cid:durableId="433329847">
    <w:abstractNumId w:val="1"/>
  </w:num>
  <w:num w:numId="17" w16cid:durableId="1075474287">
    <w:abstractNumId w:val="24"/>
  </w:num>
  <w:num w:numId="18" w16cid:durableId="923995738">
    <w:abstractNumId w:val="27"/>
  </w:num>
  <w:num w:numId="19" w16cid:durableId="1125154636">
    <w:abstractNumId w:val="28"/>
  </w:num>
  <w:num w:numId="20" w16cid:durableId="708192112">
    <w:abstractNumId w:val="15"/>
  </w:num>
  <w:num w:numId="21" w16cid:durableId="992954193">
    <w:abstractNumId w:val="18"/>
  </w:num>
  <w:num w:numId="22" w16cid:durableId="1566643631">
    <w:abstractNumId w:val="41"/>
  </w:num>
  <w:num w:numId="23" w16cid:durableId="1153793599">
    <w:abstractNumId w:val="37"/>
  </w:num>
  <w:num w:numId="24" w16cid:durableId="2082946914">
    <w:abstractNumId w:val="29"/>
  </w:num>
  <w:num w:numId="25" w16cid:durableId="339814895">
    <w:abstractNumId w:val="11"/>
  </w:num>
  <w:num w:numId="26" w16cid:durableId="194581002">
    <w:abstractNumId w:val="8"/>
  </w:num>
  <w:num w:numId="27" w16cid:durableId="1999725017">
    <w:abstractNumId w:val="12"/>
  </w:num>
  <w:num w:numId="28" w16cid:durableId="1272783434">
    <w:abstractNumId w:val="14"/>
  </w:num>
  <w:num w:numId="29" w16cid:durableId="1676953187">
    <w:abstractNumId w:val="40"/>
  </w:num>
  <w:num w:numId="30" w16cid:durableId="1441147369">
    <w:abstractNumId w:val="4"/>
  </w:num>
  <w:num w:numId="31" w16cid:durableId="1714620749">
    <w:abstractNumId w:val="0"/>
  </w:num>
  <w:num w:numId="32" w16cid:durableId="2090033483">
    <w:abstractNumId w:val="19"/>
  </w:num>
  <w:num w:numId="33" w16cid:durableId="861631431">
    <w:abstractNumId w:val="17"/>
  </w:num>
  <w:num w:numId="34" w16cid:durableId="664556252">
    <w:abstractNumId w:val="22"/>
  </w:num>
  <w:num w:numId="35" w16cid:durableId="2037805913">
    <w:abstractNumId w:val="21"/>
  </w:num>
  <w:num w:numId="36" w16cid:durableId="700781471">
    <w:abstractNumId w:val="38"/>
  </w:num>
  <w:num w:numId="37" w16cid:durableId="697777227">
    <w:abstractNumId w:val="34"/>
  </w:num>
  <w:num w:numId="38" w16cid:durableId="307519731">
    <w:abstractNumId w:val="2"/>
  </w:num>
  <w:num w:numId="39" w16cid:durableId="1703743054">
    <w:abstractNumId w:val="33"/>
  </w:num>
  <w:num w:numId="40" w16cid:durableId="827213740">
    <w:abstractNumId w:val="23"/>
  </w:num>
  <w:num w:numId="41" w16cid:durableId="745954780">
    <w:abstractNumId w:val="3"/>
  </w:num>
  <w:num w:numId="42" w16cid:durableId="133707582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0C"/>
    <w:rsid w:val="000121EE"/>
    <w:rsid w:val="00040E0E"/>
    <w:rsid w:val="0006370D"/>
    <w:rsid w:val="00063E51"/>
    <w:rsid w:val="00066EA3"/>
    <w:rsid w:val="00071956"/>
    <w:rsid w:val="00077CEB"/>
    <w:rsid w:val="00091335"/>
    <w:rsid w:val="000962A9"/>
    <w:rsid w:val="000A1B76"/>
    <w:rsid w:val="000C18CD"/>
    <w:rsid w:val="000C62A1"/>
    <w:rsid w:val="000E0A31"/>
    <w:rsid w:val="000F64A2"/>
    <w:rsid w:val="00110E96"/>
    <w:rsid w:val="0011201E"/>
    <w:rsid w:val="0011227B"/>
    <w:rsid w:val="001123C3"/>
    <w:rsid w:val="00121F94"/>
    <w:rsid w:val="001631B2"/>
    <w:rsid w:val="001702AD"/>
    <w:rsid w:val="00175A1D"/>
    <w:rsid w:val="0017710B"/>
    <w:rsid w:val="00181B2B"/>
    <w:rsid w:val="001869E9"/>
    <w:rsid w:val="00187A6E"/>
    <w:rsid w:val="00192428"/>
    <w:rsid w:val="001931E5"/>
    <w:rsid w:val="001A20DC"/>
    <w:rsid w:val="001B2BAF"/>
    <w:rsid w:val="001C2DCA"/>
    <w:rsid w:val="001C2FCB"/>
    <w:rsid w:val="001D12DA"/>
    <w:rsid w:val="001D5F25"/>
    <w:rsid w:val="001E5788"/>
    <w:rsid w:val="001F1C24"/>
    <w:rsid w:val="001F2D35"/>
    <w:rsid w:val="001F4FAE"/>
    <w:rsid w:val="001F5FD8"/>
    <w:rsid w:val="00200BBD"/>
    <w:rsid w:val="00201379"/>
    <w:rsid w:val="002033D7"/>
    <w:rsid w:val="00212752"/>
    <w:rsid w:val="00213AC1"/>
    <w:rsid w:val="002141B7"/>
    <w:rsid w:val="00220208"/>
    <w:rsid w:val="00220394"/>
    <w:rsid w:val="00225E48"/>
    <w:rsid w:val="00231211"/>
    <w:rsid w:val="002376D9"/>
    <w:rsid w:val="00241755"/>
    <w:rsid w:val="00242B13"/>
    <w:rsid w:val="002445BE"/>
    <w:rsid w:val="00255A3C"/>
    <w:rsid w:val="00264720"/>
    <w:rsid w:val="00265D2B"/>
    <w:rsid w:val="002662FE"/>
    <w:rsid w:val="00272E07"/>
    <w:rsid w:val="0027779B"/>
    <w:rsid w:val="00292BAD"/>
    <w:rsid w:val="00293AD1"/>
    <w:rsid w:val="002A163C"/>
    <w:rsid w:val="002A3C8F"/>
    <w:rsid w:val="002A5549"/>
    <w:rsid w:val="002A5F93"/>
    <w:rsid w:val="002B4F7A"/>
    <w:rsid w:val="002C7083"/>
    <w:rsid w:val="002D0112"/>
    <w:rsid w:val="002D02D3"/>
    <w:rsid w:val="002D0522"/>
    <w:rsid w:val="002D5F72"/>
    <w:rsid w:val="002D6C84"/>
    <w:rsid w:val="002E61B5"/>
    <w:rsid w:val="002F0B6C"/>
    <w:rsid w:val="002F10A3"/>
    <w:rsid w:val="002F79BF"/>
    <w:rsid w:val="00312835"/>
    <w:rsid w:val="003140A6"/>
    <w:rsid w:val="00324DA4"/>
    <w:rsid w:val="0033658D"/>
    <w:rsid w:val="00336F28"/>
    <w:rsid w:val="00345516"/>
    <w:rsid w:val="00352017"/>
    <w:rsid w:val="0036439C"/>
    <w:rsid w:val="00375DCC"/>
    <w:rsid w:val="00377E0D"/>
    <w:rsid w:val="003855D5"/>
    <w:rsid w:val="00385AB3"/>
    <w:rsid w:val="00387B5A"/>
    <w:rsid w:val="0039436C"/>
    <w:rsid w:val="00394D3A"/>
    <w:rsid w:val="003A0F50"/>
    <w:rsid w:val="003A3B45"/>
    <w:rsid w:val="003A5228"/>
    <w:rsid w:val="003A6200"/>
    <w:rsid w:val="003B3F00"/>
    <w:rsid w:val="003B74BC"/>
    <w:rsid w:val="003C23E9"/>
    <w:rsid w:val="003D287C"/>
    <w:rsid w:val="003D66EA"/>
    <w:rsid w:val="003E74C0"/>
    <w:rsid w:val="003F156E"/>
    <w:rsid w:val="003F25EF"/>
    <w:rsid w:val="004028CB"/>
    <w:rsid w:val="004112B3"/>
    <w:rsid w:val="0041616F"/>
    <w:rsid w:val="00420F53"/>
    <w:rsid w:val="004275CF"/>
    <w:rsid w:val="00435CE2"/>
    <w:rsid w:val="004407C7"/>
    <w:rsid w:val="004433AE"/>
    <w:rsid w:val="0045503C"/>
    <w:rsid w:val="00460A32"/>
    <w:rsid w:val="00461F48"/>
    <w:rsid w:val="00462F62"/>
    <w:rsid w:val="0046425C"/>
    <w:rsid w:val="00466563"/>
    <w:rsid w:val="0047704D"/>
    <w:rsid w:val="00481333"/>
    <w:rsid w:val="004A1505"/>
    <w:rsid w:val="004A2576"/>
    <w:rsid w:val="004A7348"/>
    <w:rsid w:val="004B3814"/>
    <w:rsid w:val="004B5C23"/>
    <w:rsid w:val="004C02FA"/>
    <w:rsid w:val="004C0C07"/>
    <w:rsid w:val="004C15D1"/>
    <w:rsid w:val="004C26B3"/>
    <w:rsid w:val="004C3C9A"/>
    <w:rsid w:val="004C40AE"/>
    <w:rsid w:val="004D3DA9"/>
    <w:rsid w:val="004D66AC"/>
    <w:rsid w:val="004F6E46"/>
    <w:rsid w:val="00500412"/>
    <w:rsid w:val="00501FFA"/>
    <w:rsid w:val="00504D00"/>
    <w:rsid w:val="00511048"/>
    <w:rsid w:val="00520806"/>
    <w:rsid w:val="005230C7"/>
    <w:rsid w:val="00524703"/>
    <w:rsid w:val="00537C2A"/>
    <w:rsid w:val="005525C1"/>
    <w:rsid w:val="00556F22"/>
    <w:rsid w:val="00560C16"/>
    <w:rsid w:val="0056242F"/>
    <w:rsid w:val="0056478B"/>
    <w:rsid w:val="005920DA"/>
    <w:rsid w:val="005958D2"/>
    <w:rsid w:val="005A4063"/>
    <w:rsid w:val="005B5B89"/>
    <w:rsid w:val="005C0976"/>
    <w:rsid w:val="005C7DF6"/>
    <w:rsid w:val="005D16D4"/>
    <w:rsid w:val="005F145E"/>
    <w:rsid w:val="005F2817"/>
    <w:rsid w:val="00601DAE"/>
    <w:rsid w:val="0061349C"/>
    <w:rsid w:val="00636F8E"/>
    <w:rsid w:val="00641B0E"/>
    <w:rsid w:val="006449C5"/>
    <w:rsid w:val="0066465C"/>
    <w:rsid w:val="0067126A"/>
    <w:rsid w:val="00672B07"/>
    <w:rsid w:val="00673663"/>
    <w:rsid w:val="006924F5"/>
    <w:rsid w:val="006A45BA"/>
    <w:rsid w:val="006B491D"/>
    <w:rsid w:val="006B765C"/>
    <w:rsid w:val="006C1DAB"/>
    <w:rsid w:val="006C3777"/>
    <w:rsid w:val="006C47C8"/>
    <w:rsid w:val="006C4F6A"/>
    <w:rsid w:val="006C54C5"/>
    <w:rsid w:val="006C61D2"/>
    <w:rsid w:val="006D66DC"/>
    <w:rsid w:val="006E1700"/>
    <w:rsid w:val="006F2B0C"/>
    <w:rsid w:val="00703D0B"/>
    <w:rsid w:val="00720A4F"/>
    <w:rsid w:val="0072400D"/>
    <w:rsid w:val="007248B0"/>
    <w:rsid w:val="00754C37"/>
    <w:rsid w:val="00762A79"/>
    <w:rsid w:val="00773157"/>
    <w:rsid w:val="007758AF"/>
    <w:rsid w:val="00792B04"/>
    <w:rsid w:val="007965A4"/>
    <w:rsid w:val="007B4ECB"/>
    <w:rsid w:val="007B7988"/>
    <w:rsid w:val="007C32C9"/>
    <w:rsid w:val="007D00E4"/>
    <w:rsid w:val="007D05AB"/>
    <w:rsid w:val="007D3ACD"/>
    <w:rsid w:val="007F6C5D"/>
    <w:rsid w:val="007F6DE1"/>
    <w:rsid w:val="008128CF"/>
    <w:rsid w:val="00814CB4"/>
    <w:rsid w:val="008212E4"/>
    <w:rsid w:val="00826588"/>
    <w:rsid w:val="00836EC6"/>
    <w:rsid w:val="00841774"/>
    <w:rsid w:val="00855A3A"/>
    <w:rsid w:val="00867864"/>
    <w:rsid w:val="00875B1E"/>
    <w:rsid w:val="0088007F"/>
    <w:rsid w:val="00890E72"/>
    <w:rsid w:val="00893784"/>
    <w:rsid w:val="008971DA"/>
    <w:rsid w:val="008A2C7A"/>
    <w:rsid w:val="008A4F9E"/>
    <w:rsid w:val="008C1E70"/>
    <w:rsid w:val="008C5B22"/>
    <w:rsid w:val="008C63E9"/>
    <w:rsid w:val="008D0732"/>
    <w:rsid w:val="008D43B5"/>
    <w:rsid w:val="008D784B"/>
    <w:rsid w:val="008F243D"/>
    <w:rsid w:val="009003B5"/>
    <w:rsid w:val="00900627"/>
    <w:rsid w:val="009107DF"/>
    <w:rsid w:val="00914DA8"/>
    <w:rsid w:val="00924420"/>
    <w:rsid w:val="00944546"/>
    <w:rsid w:val="00951D68"/>
    <w:rsid w:val="00962BA5"/>
    <w:rsid w:val="00962D3C"/>
    <w:rsid w:val="00966D3A"/>
    <w:rsid w:val="00982B32"/>
    <w:rsid w:val="00985516"/>
    <w:rsid w:val="009914B9"/>
    <w:rsid w:val="009971FB"/>
    <w:rsid w:val="009A37F1"/>
    <w:rsid w:val="009B5E50"/>
    <w:rsid w:val="009C20C4"/>
    <w:rsid w:val="009D5545"/>
    <w:rsid w:val="009D6F2C"/>
    <w:rsid w:val="009E71C3"/>
    <w:rsid w:val="009F60CE"/>
    <w:rsid w:val="00A07D3F"/>
    <w:rsid w:val="00A10E96"/>
    <w:rsid w:val="00A20579"/>
    <w:rsid w:val="00A24E66"/>
    <w:rsid w:val="00A334A1"/>
    <w:rsid w:val="00A360CB"/>
    <w:rsid w:val="00A44F1C"/>
    <w:rsid w:val="00A51FCD"/>
    <w:rsid w:val="00A6470B"/>
    <w:rsid w:val="00A774A8"/>
    <w:rsid w:val="00A77778"/>
    <w:rsid w:val="00A80AED"/>
    <w:rsid w:val="00A840B6"/>
    <w:rsid w:val="00A9045A"/>
    <w:rsid w:val="00A91AA4"/>
    <w:rsid w:val="00A9327D"/>
    <w:rsid w:val="00A96E2F"/>
    <w:rsid w:val="00AA2D1F"/>
    <w:rsid w:val="00AB1333"/>
    <w:rsid w:val="00AB67B9"/>
    <w:rsid w:val="00AC4C08"/>
    <w:rsid w:val="00AD2563"/>
    <w:rsid w:val="00AD5FC6"/>
    <w:rsid w:val="00AD7031"/>
    <w:rsid w:val="00AD71B5"/>
    <w:rsid w:val="00AE4E08"/>
    <w:rsid w:val="00AF524A"/>
    <w:rsid w:val="00B02321"/>
    <w:rsid w:val="00B03533"/>
    <w:rsid w:val="00B05386"/>
    <w:rsid w:val="00B13823"/>
    <w:rsid w:val="00B138EE"/>
    <w:rsid w:val="00B32986"/>
    <w:rsid w:val="00B32ACE"/>
    <w:rsid w:val="00B349D8"/>
    <w:rsid w:val="00B42E46"/>
    <w:rsid w:val="00B50260"/>
    <w:rsid w:val="00B525DF"/>
    <w:rsid w:val="00B53910"/>
    <w:rsid w:val="00B566C7"/>
    <w:rsid w:val="00B73EFB"/>
    <w:rsid w:val="00B84A1F"/>
    <w:rsid w:val="00B91E4A"/>
    <w:rsid w:val="00BB0414"/>
    <w:rsid w:val="00BB0C39"/>
    <w:rsid w:val="00BC6D8F"/>
    <w:rsid w:val="00BE202D"/>
    <w:rsid w:val="00BF48B8"/>
    <w:rsid w:val="00C12840"/>
    <w:rsid w:val="00C13A25"/>
    <w:rsid w:val="00C20036"/>
    <w:rsid w:val="00C26B87"/>
    <w:rsid w:val="00C301E3"/>
    <w:rsid w:val="00C33687"/>
    <w:rsid w:val="00C35A6F"/>
    <w:rsid w:val="00C45FC8"/>
    <w:rsid w:val="00C47689"/>
    <w:rsid w:val="00C4781D"/>
    <w:rsid w:val="00C5220F"/>
    <w:rsid w:val="00C53576"/>
    <w:rsid w:val="00C54388"/>
    <w:rsid w:val="00C5648D"/>
    <w:rsid w:val="00C72407"/>
    <w:rsid w:val="00C8480B"/>
    <w:rsid w:val="00C86D79"/>
    <w:rsid w:val="00CA0E7C"/>
    <w:rsid w:val="00CA718F"/>
    <w:rsid w:val="00CC26CE"/>
    <w:rsid w:val="00CC46CC"/>
    <w:rsid w:val="00CD651D"/>
    <w:rsid w:val="00CE5BD8"/>
    <w:rsid w:val="00CE6759"/>
    <w:rsid w:val="00CE6BF8"/>
    <w:rsid w:val="00CE6F54"/>
    <w:rsid w:val="00CF68D9"/>
    <w:rsid w:val="00D029D1"/>
    <w:rsid w:val="00D05BC2"/>
    <w:rsid w:val="00D11998"/>
    <w:rsid w:val="00D143A4"/>
    <w:rsid w:val="00D14920"/>
    <w:rsid w:val="00D156BD"/>
    <w:rsid w:val="00D1621A"/>
    <w:rsid w:val="00D2296C"/>
    <w:rsid w:val="00D23372"/>
    <w:rsid w:val="00D52882"/>
    <w:rsid w:val="00D57E16"/>
    <w:rsid w:val="00D601E7"/>
    <w:rsid w:val="00D70603"/>
    <w:rsid w:val="00D858F2"/>
    <w:rsid w:val="00D940BE"/>
    <w:rsid w:val="00DA3712"/>
    <w:rsid w:val="00DA4490"/>
    <w:rsid w:val="00DB0F60"/>
    <w:rsid w:val="00DD146D"/>
    <w:rsid w:val="00DE00D9"/>
    <w:rsid w:val="00DF06B9"/>
    <w:rsid w:val="00DF2E06"/>
    <w:rsid w:val="00DF70AF"/>
    <w:rsid w:val="00DF7F6B"/>
    <w:rsid w:val="00E1178F"/>
    <w:rsid w:val="00E16AB5"/>
    <w:rsid w:val="00E25536"/>
    <w:rsid w:val="00E5548A"/>
    <w:rsid w:val="00E57218"/>
    <w:rsid w:val="00E66213"/>
    <w:rsid w:val="00E73FC5"/>
    <w:rsid w:val="00E87545"/>
    <w:rsid w:val="00E97DA9"/>
    <w:rsid w:val="00EB21D9"/>
    <w:rsid w:val="00EC3C9F"/>
    <w:rsid w:val="00EC4D16"/>
    <w:rsid w:val="00ED13C0"/>
    <w:rsid w:val="00ED2F7E"/>
    <w:rsid w:val="00EF088F"/>
    <w:rsid w:val="00EF111C"/>
    <w:rsid w:val="00EF519F"/>
    <w:rsid w:val="00F0000C"/>
    <w:rsid w:val="00F039ED"/>
    <w:rsid w:val="00F04474"/>
    <w:rsid w:val="00F045DA"/>
    <w:rsid w:val="00F063AF"/>
    <w:rsid w:val="00F06CED"/>
    <w:rsid w:val="00F07087"/>
    <w:rsid w:val="00F21A43"/>
    <w:rsid w:val="00F22885"/>
    <w:rsid w:val="00F25B19"/>
    <w:rsid w:val="00F26FB4"/>
    <w:rsid w:val="00F3295C"/>
    <w:rsid w:val="00F3309F"/>
    <w:rsid w:val="00F41154"/>
    <w:rsid w:val="00F45BF1"/>
    <w:rsid w:val="00F47A54"/>
    <w:rsid w:val="00F50433"/>
    <w:rsid w:val="00F600D3"/>
    <w:rsid w:val="00F6219F"/>
    <w:rsid w:val="00F6776B"/>
    <w:rsid w:val="00F67B4D"/>
    <w:rsid w:val="00F70C08"/>
    <w:rsid w:val="00F71C5B"/>
    <w:rsid w:val="00F72B4E"/>
    <w:rsid w:val="00F748D6"/>
    <w:rsid w:val="00F755E2"/>
    <w:rsid w:val="00F762E3"/>
    <w:rsid w:val="00F862F6"/>
    <w:rsid w:val="00F8790C"/>
    <w:rsid w:val="00F95F31"/>
    <w:rsid w:val="00F97CCB"/>
    <w:rsid w:val="00FA1E3F"/>
    <w:rsid w:val="00FA5140"/>
    <w:rsid w:val="00FC1F91"/>
    <w:rsid w:val="00FC3508"/>
    <w:rsid w:val="00FD50E7"/>
    <w:rsid w:val="00FD50ED"/>
    <w:rsid w:val="00FD523F"/>
    <w:rsid w:val="00FE5F7A"/>
    <w:rsid w:val="00FF24BA"/>
    <w:rsid w:val="00FF7401"/>
    <w:rsid w:val="09FB2611"/>
    <w:rsid w:val="7AAFC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E8F24"/>
  <w15:chartTrackingRefBased/>
  <w15:docId w15:val="{BAB41127-4791-46B8-B35A-23497EDD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814"/>
    <w:pPr>
      <w:keepNext/>
      <w:keepLines/>
      <w:spacing w:before="360" w:after="240" w:line="288" w:lineRule="auto"/>
      <w:outlineLvl w:val="0"/>
    </w:pPr>
    <w:rPr>
      <w:rFonts w:asciiTheme="majorHAnsi" w:eastAsiaTheme="majorEastAsia" w:hAnsiTheme="majorHAnsi" w:cstheme="majorBidi"/>
      <w:b/>
      <w:sz w:val="56"/>
      <w:szCs w:val="40"/>
    </w:rPr>
  </w:style>
  <w:style w:type="paragraph" w:styleId="Heading2">
    <w:name w:val="heading 2"/>
    <w:basedOn w:val="Normal"/>
    <w:next w:val="Normal"/>
    <w:link w:val="Heading2Char"/>
    <w:uiPriority w:val="9"/>
    <w:unhideWhenUsed/>
    <w:qFormat/>
    <w:rsid w:val="0011227B"/>
    <w:pPr>
      <w:keepNext/>
      <w:keepLines/>
      <w:spacing w:before="240" w:after="240" w:line="288" w:lineRule="auto"/>
      <w:outlineLvl w:val="1"/>
    </w:pPr>
    <w:rPr>
      <w:rFonts w:asciiTheme="majorHAnsi" w:eastAsiaTheme="majorEastAsia" w:hAnsiTheme="majorHAnsi" w:cstheme="majorBidi"/>
      <w:b/>
      <w:sz w:val="44"/>
      <w:szCs w:val="32"/>
    </w:rPr>
  </w:style>
  <w:style w:type="paragraph" w:styleId="Heading3">
    <w:name w:val="heading 3"/>
    <w:basedOn w:val="Normal"/>
    <w:next w:val="Normal"/>
    <w:link w:val="Heading3Char"/>
    <w:uiPriority w:val="9"/>
    <w:unhideWhenUsed/>
    <w:qFormat/>
    <w:rsid w:val="0027779B"/>
    <w:pPr>
      <w:keepNext/>
      <w:keepLines/>
      <w:spacing w:before="160" w:after="80"/>
      <w:outlineLvl w:val="2"/>
    </w:pPr>
    <w:rPr>
      <w:rFonts w:eastAsiaTheme="majorEastAsia" w:cstheme="majorBidi"/>
      <w:b/>
      <w:sz w:val="32"/>
      <w:szCs w:val="28"/>
    </w:rPr>
  </w:style>
  <w:style w:type="paragraph" w:styleId="Heading4">
    <w:name w:val="heading 4"/>
    <w:basedOn w:val="Normal"/>
    <w:next w:val="Normal"/>
    <w:link w:val="Heading4Char"/>
    <w:uiPriority w:val="9"/>
    <w:semiHidden/>
    <w:unhideWhenUsed/>
    <w:qFormat/>
    <w:rsid w:val="006F2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814"/>
    <w:rPr>
      <w:rFonts w:asciiTheme="majorHAnsi" w:eastAsiaTheme="majorEastAsia" w:hAnsiTheme="majorHAnsi" w:cstheme="majorBidi"/>
      <w:b/>
      <w:sz w:val="56"/>
      <w:szCs w:val="40"/>
    </w:rPr>
  </w:style>
  <w:style w:type="character" w:customStyle="1" w:styleId="Heading2Char">
    <w:name w:val="Heading 2 Char"/>
    <w:basedOn w:val="DefaultParagraphFont"/>
    <w:link w:val="Heading2"/>
    <w:uiPriority w:val="9"/>
    <w:rsid w:val="0011227B"/>
    <w:rPr>
      <w:rFonts w:asciiTheme="majorHAnsi" w:eastAsiaTheme="majorEastAsia" w:hAnsiTheme="majorHAnsi" w:cstheme="majorBidi"/>
      <w:b/>
      <w:sz w:val="44"/>
      <w:szCs w:val="32"/>
    </w:rPr>
  </w:style>
  <w:style w:type="character" w:customStyle="1" w:styleId="Heading3Char">
    <w:name w:val="Heading 3 Char"/>
    <w:basedOn w:val="DefaultParagraphFont"/>
    <w:link w:val="Heading3"/>
    <w:uiPriority w:val="9"/>
    <w:rsid w:val="0027779B"/>
    <w:rPr>
      <w:rFonts w:eastAsiaTheme="majorEastAsia" w:cstheme="majorBidi"/>
      <w:b/>
      <w:sz w:val="32"/>
      <w:szCs w:val="28"/>
    </w:rPr>
  </w:style>
  <w:style w:type="character" w:customStyle="1" w:styleId="Heading4Char">
    <w:name w:val="Heading 4 Char"/>
    <w:basedOn w:val="DefaultParagraphFont"/>
    <w:link w:val="Heading4"/>
    <w:uiPriority w:val="9"/>
    <w:semiHidden/>
    <w:rsid w:val="006F2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0C"/>
    <w:rPr>
      <w:rFonts w:eastAsiaTheme="majorEastAsia" w:cstheme="majorBidi"/>
      <w:color w:val="272727" w:themeColor="text1" w:themeTint="D8"/>
    </w:rPr>
  </w:style>
  <w:style w:type="paragraph" w:styleId="Title">
    <w:name w:val="Title"/>
    <w:basedOn w:val="Normal"/>
    <w:next w:val="Normal"/>
    <w:link w:val="TitleChar"/>
    <w:uiPriority w:val="10"/>
    <w:qFormat/>
    <w:rsid w:val="006F2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0C"/>
    <w:pPr>
      <w:spacing w:before="160"/>
      <w:jc w:val="center"/>
    </w:pPr>
    <w:rPr>
      <w:i/>
      <w:iCs/>
      <w:color w:val="404040" w:themeColor="text1" w:themeTint="BF"/>
    </w:rPr>
  </w:style>
  <w:style w:type="character" w:customStyle="1" w:styleId="QuoteChar">
    <w:name w:val="Quote Char"/>
    <w:basedOn w:val="DefaultParagraphFont"/>
    <w:link w:val="Quote"/>
    <w:uiPriority w:val="29"/>
    <w:rsid w:val="006F2B0C"/>
    <w:rPr>
      <w:i/>
      <w:iCs/>
      <w:color w:val="404040" w:themeColor="text1" w:themeTint="BF"/>
    </w:rPr>
  </w:style>
  <w:style w:type="paragraph" w:styleId="ListParagraph">
    <w:name w:val="List Paragraph"/>
    <w:basedOn w:val="Normal"/>
    <w:uiPriority w:val="34"/>
    <w:qFormat/>
    <w:rsid w:val="006F2B0C"/>
    <w:pPr>
      <w:ind w:left="720"/>
      <w:contextualSpacing/>
    </w:pPr>
  </w:style>
  <w:style w:type="character" w:styleId="IntenseEmphasis">
    <w:name w:val="Intense Emphasis"/>
    <w:basedOn w:val="DefaultParagraphFont"/>
    <w:uiPriority w:val="21"/>
    <w:qFormat/>
    <w:rsid w:val="006F2B0C"/>
    <w:rPr>
      <w:i/>
      <w:iCs/>
      <w:color w:val="0F4761" w:themeColor="accent1" w:themeShade="BF"/>
    </w:rPr>
  </w:style>
  <w:style w:type="paragraph" w:styleId="IntenseQuote">
    <w:name w:val="Intense Quote"/>
    <w:basedOn w:val="Normal"/>
    <w:next w:val="Normal"/>
    <w:link w:val="IntenseQuoteChar"/>
    <w:uiPriority w:val="30"/>
    <w:qFormat/>
    <w:rsid w:val="006F2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B0C"/>
    <w:rPr>
      <w:i/>
      <w:iCs/>
      <w:color w:val="0F4761" w:themeColor="accent1" w:themeShade="BF"/>
    </w:rPr>
  </w:style>
  <w:style w:type="character" w:styleId="IntenseReference">
    <w:name w:val="Intense Reference"/>
    <w:basedOn w:val="DefaultParagraphFont"/>
    <w:uiPriority w:val="32"/>
    <w:qFormat/>
    <w:rsid w:val="006F2B0C"/>
    <w:rPr>
      <w:b/>
      <w:bCs/>
      <w:smallCaps/>
      <w:color w:val="0F4761" w:themeColor="accent1" w:themeShade="BF"/>
      <w:spacing w:val="5"/>
    </w:rPr>
  </w:style>
  <w:style w:type="character" w:styleId="Hyperlink">
    <w:name w:val="Hyperlink"/>
    <w:basedOn w:val="DefaultParagraphFont"/>
    <w:uiPriority w:val="99"/>
    <w:unhideWhenUsed/>
    <w:rsid w:val="00E1178F"/>
    <w:rPr>
      <w:color w:val="467886" w:themeColor="hyperlink"/>
      <w:u w:val="single"/>
    </w:rPr>
  </w:style>
  <w:style w:type="character" w:styleId="UnresolvedMention">
    <w:name w:val="Unresolved Mention"/>
    <w:basedOn w:val="DefaultParagraphFont"/>
    <w:uiPriority w:val="99"/>
    <w:semiHidden/>
    <w:unhideWhenUsed/>
    <w:rsid w:val="00E1178F"/>
    <w:rPr>
      <w:color w:val="605E5C"/>
      <w:shd w:val="clear" w:color="auto" w:fill="E1DFDD"/>
    </w:rPr>
  </w:style>
  <w:style w:type="table" w:styleId="TableGrid">
    <w:name w:val="Table Grid"/>
    <w:basedOn w:val="TableNormal"/>
    <w:uiPriority w:val="39"/>
    <w:rsid w:val="0091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24E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A24E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A24E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44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C5"/>
  </w:style>
  <w:style w:type="paragraph" w:styleId="Footer">
    <w:name w:val="footer"/>
    <w:basedOn w:val="Normal"/>
    <w:link w:val="FooterChar"/>
    <w:uiPriority w:val="99"/>
    <w:unhideWhenUsed/>
    <w:rsid w:val="00644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C5"/>
  </w:style>
  <w:style w:type="character" w:styleId="CommentReference">
    <w:name w:val="annotation reference"/>
    <w:basedOn w:val="DefaultParagraphFont"/>
    <w:uiPriority w:val="99"/>
    <w:semiHidden/>
    <w:unhideWhenUsed/>
    <w:rsid w:val="002D02D3"/>
    <w:rPr>
      <w:sz w:val="16"/>
      <w:szCs w:val="16"/>
    </w:rPr>
  </w:style>
  <w:style w:type="paragraph" w:styleId="CommentText">
    <w:name w:val="annotation text"/>
    <w:basedOn w:val="Normal"/>
    <w:link w:val="CommentTextChar"/>
    <w:uiPriority w:val="99"/>
    <w:unhideWhenUsed/>
    <w:rsid w:val="002D02D3"/>
    <w:pPr>
      <w:spacing w:line="240" w:lineRule="auto"/>
    </w:pPr>
    <w:rPr>
      <w:sz w:val="20"/>
      <w:szCs w:val="20"/>
    </w:rPr>
  </w:style>
  <w:style w:type="character" w:customStyle="1" w:styleId="CommentTextChar">
    <w:name w:val="Comment Text Char"/>
    <w:basedOn w:val="DefaultParagraphFont"/>
    <w:link w:val="CommentText"/>
    <w:uiPriority w:val="99"/>
    <w:rsid w:val="002D02D3"/>
    <w:rPr>
      <w:sz w:val="20"/>
      <w:szCs w:val="20"/>
    </w:rPr>
  </w:style>
  <w:style w:type="paragraph" w:styleId="CommentSubject">
    <w:name w:val="annotation subject"/>
    <w:basedOn w:val="CommentText"/>
    <w:next w:val="CommentText"/>
    <w:link w:val="CommentSubjectChar"/>
    <w:uiPriority w:val="99"/>
    <w:semiHidden/>
    <w:unhideWhenUsed/>
    <w:rsid w:val="002D02D3"/>
    <w:rPr>
      <w:b/>
      <w:bCs/>
    </w:rPr>
  </w:style>
  <w:style w:type="character" w:customStyle="1" w:styleId="CommentSubjectChar">
    <w:name w:val="Comment Subject Char"/>
    <w:basedOn w:val="CommentTextChar"/>
    <w:link w:val="CommentSubject"/>
    <w:uiPriority w:val="99"/>
    <w:semiHidden/>
    <w:rsid w:val="002D02D3"/>
    <w:rPr>
      <w:b/>
      <w:bCs/>
      <w:sz w:val="20"/>
      <w:szCs w:val="20"/>
    </w:rPr>
  </w:style>
  <w:style w:type="character" w:styleId="FollowedHyperlink">
    <w:name w:val="FollowedHyperlink"/>
    <w:basedOn w:val="DefaultParagraphFont"/>
    <w:uiPriority w:val="99"/>
    <w:semiHidden/>
    <w:unhideWhenUsed/>
    <w:rsid w:val="006C54C5"/>
    <w:rPr>
      <w:color w:val="96607D" w:themeColor="followedHyperlink"/>
      <w:u w:val="single"/>
    </w:rPr>
  </w:style>
  <w:style w:type="paragraph" w:styleId="TOCHeading">
    <w:name w:val="TOC Heading"/>
    <w:basedOn w:val="Heading1"/>
    <w:next w:val="Normal"/>
    <w:uiPriority w:val="39"/>
    <w:unhideWhenUsed/>
    <w:qFormat/>
    <w:rsid w:val="00F95F31"/>
    <w:pPr>
      <w:spacing w:before="240" w:after="0" w:line="259" w:lineRule="auto"/>
      <w:outlineLvl w:val="9"/>
    </w:pPr>
    <w:rPr>
      <w:kern w:val="0"/>
      <w:sz w:val="32"/>
      <w:szCs w:val="32"/>
      <w:lang w:eastAsia="en-AU"/>
      <w14:ligatures w14:val="none"/>
    </w:rPr>
  </w:style>
  <w:style w:type="paragraph" w:styleId="TOC1">
    <w:name w:val="toc 1"/>
    <w:basedOn w:val="Normal"/>
    <w:next w:val="Normal"/>
    <w:autoRedefine/>
    <w:uiPriority w:val="39"/>
    <w:unhideWhenUsed/>
    <w:rsid w:val="00F95F31"/>
    <w:pPr>
      <w:spacing w:after="100"/>
    </w:pPr>
  </w:style>
  <w:style w:type="paragraph" w:styleId="TOC2">
    <w:name w:val="toc 2"/>
    <w:basedOn w:val="Normal"/>
    <w:next w:val="Normal"/>
    <w:autoRedefine/>
    <w:uiPriority w:val="39"/>
    <w:unhideWhenUsed/>
    <w:rsid w:val="00F95F31"/>
    <w:pPr>
      <w:spacing w:after="100"/>
      <w:ind w:left="240"/>
    </w:pPr>
  </w:style>
  <w:style w:type="paragraph" w:styleId="Revision">
    <w:name w:val="Revision"/>
    <w:hidden/>
    <w:uiPriority w:val="99"/>
    <w:semiHidden/>
    <w:rsid w:val="00C8480B"/>
    <w:pPr>
      <w:spacing w:after="0" w:line="240" w:lineRule="auto"/>
    </w:pPr>
  </w:style>
  <w:style w:type="paragraph" w:styleId="TOC3">
    <w:name w:val="toc 3"/>
    <w:basedOn w:val="Normal"/>
    <w:next w:val="Normal"/>
    <w:autoRedefine/>
    <w:uiPriority w:val="39"/>
    <w:unhideWhenUsed/>
    <w:rsid w:val="0092442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country.health.wa.gov.au/About-us/Our-research/Clinical-tri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82bb1-1724-4f12-a197-966fcc6c8e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69BB627B283547AB4119DDB12ED41E" ma:contentTypeVersion="14" ma:contentTypeDescription="Create a new document." ma:contentTypeScope="" ma:versionID="446ff26382e31d43e85f4378a2a8a024">
  <xsd:schema xmlns:xsd="http://www.w3.org/2001/XMLSchema" xmlns:xs="http://www.w3.org/2001/XMLSchema" xmlns:p="http://schemas.microsoft.com/office/2006/metadata/properties" xmlns:ns2="10882bb1-1724-4f12-a197-966fcc6c8eda" xmlns:ns3="70058365-562d-4f3c-8080-621edd6e16f2" targetNamespace="http://schemas.microsoft.com/office/2006/metadata/properties" ma:root="true" ma:fieldsID="0b092777254250eef53520a0c355207b" ns2:_="" ns3:_="">
    <xsd:import namespace="10882bb1-1724-4f12-a197-966fcc6c8eda"/>
    <xsd:import namespace="70058365-562d-4f3c-8080-621edd6e1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2bb1-1724-4f12-a197-966fcc6c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58365-562d-4f3c-8080-621edd6e1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C5895-0FA7-4BE1-A913-B3B9488F9E95}">
  <ds:schemaRefs>
    <ds:schemaRef ds:uri="http://schemas.microsoft.com/office/2006/metadata/properties"/>
    <ds:schemaRef ds:uri="http://schemas.microsoft.com/office/infopath/2007/PartnerControls"/>
    <ds:schemaRef ds:uri="10882bb1-1724-4f12-a197-966fcc6c8eda"/>
  </ds:schemaRefs>
</ds:datastoreItem>
</file>

<file path=customXml/itemProps2.xml><?xml version="1.0" encoding="utf-8"?>
<ds:datastoreItem xmlns:ds="http://schemas.openxmlformats.org/officeDocument/2006/customXml" ds:itemID="{F3F60DD3-D37D-4117-A303-B70363E19074}">
  <ds:schemaRefs>
    <ds:schemaRef ds:uri="http://schemas.openxmlformats.org/officeDocument/2006/bibliography"/>
  </ds:schemaRefs>
</ds:datastoreItem>
</file>

<file path=customXml/itemProps3.xml><?xml version="1.0" encoding="utf-8"?>
<ds:datastoreItem xmlns:ds="http://schemas.openxmlformats.org/officeDocument/2006/customXml" ds:itemID="{7982CF31-D87E-4CD4-BA32-DAF69B57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2bb1-1724-4f12-a197-966fcc6c8eda"/>
    <ds:schemaRef ds:uri="70058365-562d-4f3c-8080-621edd6e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A8A67-A204-45AA-A527-8A14540FA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4668</Words>
  <Characters>26003</Characters>
  <Application>Microsoft Office Word</Application>
  <DocSecurity>0</DocSecurity>
  <Lines>702</Lines>
  <Paragraphs>344</Paragraphs>
  <ScaleCrop>false</ScaleCrop>
  <HeadingPairs>
    <vt:vector size="2" baseType="variant">
      <vt:variant>
        <vt:lpstr>Title</vt:lpstr>
      </vt:variant>
      <vt:variant>
        <vt:i4>1</vt:i4>
      </vt:variant>
    </vt:vector>
  </HeadingPairs>
  <TitlesOfParts>
    <vt:vector size="1" baseType="lpstr">
      <vt:lpstr>Introduction to flexible trial delivery</vt:lpstr>
    </vt:vector>
  </TitlesOfParts>
  <Company/>
  <LinksUpToDate>false</LinksUpToDate>
  <CharactersWithSpaces>30327</CharactersWithSpaces>
  <SharedDoc>false</SharedDoc>
  <HLinks>
    <vt:vector size="78" baseType="variant">
      <vt:variant>
        <vt:i4>5177416</vt:i4>
      </vt:variant>
      <vt:variant>
        <vt:i4>69</vt:i4>
      </vt:variant>
      <vt:variant>
        <vt:i4>0</vt:i4>
      </vt:variant>
      <vt:variant>
        <vt:i4>5</vt:i4>
      </vt:variant>
      <vt:variant>
        <vt:lpwstr>https://www.bing.com/videos/riverview/relatedvideo?&amp;q=australia+randomisation&amp;&amp;mid=3401ED12F1A72191BDAD3401ED12F1A72191BDAD&amp;mmscn=mtsc&amp;aps=1&amp;FORM=VRDGAR</vt:lpwstr>
      </vt:variant>
      <vt:variant>
        <vt:lpwstr/>
      </vt:variant>
      <vt:variant>
        <vt:i4>8323182</vt:i4>
      </vt:variant>
      <vt:variant>
        <vt:i4>66</vt:i4>
      </vt:variant>
      <vt:variant>
        <vt:i4>0</vt:i4>
      </vt:variant>
      <vt:variant>
        <vt:i4>5</vt:i4>
      </vt:variant>
      <vt:variant>
        <vt:lpwstr>https://www.bing.com/videos/riverview/relatedvideo?q=australia+what+is+a+clinical+trial&amp;&amp;view=riverview&amp;mmscn=mtsc&amp;mid=7BE26F0F6674576B82B37BE26F0F6674576B82B3&amp;&amp;aps=1&amp;FORM=VMSOVR</vt:lpwstr>
      </vt:variant>
      <vt:variant>
        <vt:lpwstr/>
      </vt:variant>
      <vt:variant>
        <vt:i4>7929897</vt:i4>
      </vt:variant>
      <vt:variant>
        <vt:i4>63</vt:i4>
      </vt:variant>
      <vt:variant>
        <vt:i4>0</vt:i4>
      </vt:variant>
      <vt:variant>
        <vt:i4>5</vt:i4>
      </vt:variant>
      <vt:variant>
        <vt:lpwstr>https://ctiq.com.au/tools-for-flexible-trial-delivery/</vt:lpwstr>
      </vt:variant>
      <vt:variant>
        <vt:lpwstr/>
      </vt:variant>
      <vt:variant>
        <vt:i4>1245235</vt:i4>
      </vt:variant>
      <vt:variant>
        <vt:i4>56</vt:i4>
      </vt:variant>
      <vt:variant>
        <vt:i4>0</vt:i4>
      </vt:variant>
      <vt:variant>
        <vt:i4>5</vt:i4>
      </vt:variant>
      <vt:variant>
        <vt:lpwstr/>
      </vt:variant>
      <vt:variant>
        <vt:lpwstr>_Toc221707067</vt:lpwstr>
      </vt:variant>
      <vt:variant>
        <vt:i4>1245235</vt:i4>
      </vt:variant>
      <vt:variant>
        <vt:i4>50</vt:i4>
      </vt:variant>
      <vt:variant>
        <vt:i4>0</vt:i4>
      </vt:variant>
      <vt:variant>
        <vt:i4>5</vt:i4>
      </vt:variant>
      <vt:variant>
        <vt:lpwstr/>
      </vt:variant>
      <vt:variant>
        <vt:lpwstr>_Toc221707066</vt:lpwstr>
      </vt:variant>
      <vt:variant>
        <vt:i4>1245235</vt:i4>
      </vt:variant>
      <vt:variant>
        <vt:i4>44</vt:i4>
      </vt:variant>
      <vt:variant>
        <vt:i4>0</vt:i4>
      </vt:variant>
      <vt:variant>
        <vt:i4>5</vt:i4>
      </vt:variant>
      <vt:variant>
        <vt:lpwstr/>
      </vt:variant>
      <vt:variant>
        <vt:lpwstr>_Toc221707065</vt:lpwstr>
      </vt:variant>
      <vt:variant>
        <vt:i4>1245235</vt:i4>
      </vt:variant>
      <vt:variant>
        <vt:i4>38</vt:i4>
      </vt:variant>
      <vt:variant>
        <vt:i4>0</vt:i4>
      </vt:variant>
      <vt:variant>
        <vt:i4>5</vt:i4>
      </vt:variant>
      <vt:variant>
        <vt:lpwstr/>
      </vt:variant>
      <vt:variant>
        <vt:lpwstr>_Toc221707064</vt:lpwstr>
      </vt:variant>
      <vt:variant>
        <vt:i4>1245235</vt:i4>
      </vt:variant>
      <vt:variant>
        <vt:i4>32</vt:i4>
      </vt:variant>
      <vt:variant>
        <vt:i4>0</vt:i4>
      </vt:variant>
      <vt:variant>
        <vt:i4>5</vt:i4>
      </vt:variant>
      <vt:variant>
        <vt:lpwstr/>
      </vt:variant>
      <vt:variant>
        <vt:lpwstr>_Toc221707063</vt:lpwstr>
      </vt:variant>
      <vt:variant>
        <vt:i4>1245235</vt:i4>
      </vt:variant>
      <vt:variant>
        <vt:i4>26</vt:i4>
      </vt:variant>
      <vt:variant>
        <vt:i4>0</vt:i4>
      </vt:variant>
      <vt:variant>
        <vt:i4>5</vt:i4>
      </vt:variant>
      <vt:variant>
        <vt:lpwstr/>
      </vt:variant>
      <vt:variant>
        <vt:lpwstr>_Toc221707062</vt:lpwstr>
      </vt:variant>
      <vt:variant>
        <vt:i4>1245235</vt:i4>
      </vt:variant>
      <vt:variant>
        <vt:i4>20</vt:i4>
      </vt:variant>
      <vt:variant>
        <vt:i4>0</vt:i4>
      </vt:variant>
      <vt:variant>
        <vt:i4>5</vt:i4>
      </vt:variant>
      <vt:variant>
        <vt:lpwstr/>
      </vt:variant>
      <vt:variant>
        <vt:lpwstr>_Toc221707061</vt:lpwstr>
      </vt:variant>
      <vt:variant>
        <vt:i4>1245235</vt:i4>
      </vt:variant>
      <vt:variant>
        <vt:i4>14</vt:i4>
      </vt:variant>
      <vt:variant>
        <vt:i4>0</vt:i4>
      </vt:variant>
      <vt:variant>
        <vt:i4>5</vt:i4>
      </vt:variant>
      <vt:variant>
        <vt:lpwstr/>
      </vt:variant>
      <vt:variant>
        <vt:lpwstr>_Toc221707060</vt:lpwstr>
      </vt:variant>
      <vt:variant>
        <vt:i4>1048627</vt:i4>
      </vt:variant>
      <vt:variant>
        <vt:i4>8</vt:i4>
      </vt:variant>
      <vt:variant>
        <vt:i4>0</vt:i4>
      </vt:variant>
      <vt:variant>
        <vt:i4>5</vt:i4>
      </vt:variant>
      <vt:variant>
        <vt:lpwstr/>
      </vt:variant>
      <vt:variant>
        <vt:lpwstr>_Toc221707059</vt:lpwstr>
      </vt:variant>
      <vt:variant>
        <vt:i4>1048627</vt:i4>
      </vt:variant>
      <vt:variant>
        <vt:i4>2</vt:i4>
      </vt:variant>
      <vt:variant>
        <vt:i4>0</vt:i4>
      </vt:variant>
      <vt:variant>
        <vt:i4>5</vt:i4>
      </vt:variant>
      <vt:variant>
        <vt:lpwstr/>
      </vt:variant>
      <vt:variant>
        <vt:lpwstr>_Toc221707058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flexible trial delivery</dc:title>
  <dc:subject/>
  <dc:creator>Gudrun Wells</dc:creator>
  <cp:keywords/>
  <dc:description/>
  <cp:lastModifiedBy>Gudrun Wells</cp:lastModifiedBy>
  <cp:revision>82</cp:revision>
  <dcterms:created xsi:type="dcterms:W3CDTF">2026-05-14T07:28:00Z</dcterms:created>
  <dcterms:modified xsi:type="dcterms:W3CDTF">2026-05-18T04:35:00Z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0x010100B069BB627B283547AB4119DDB12ED41E</vt:lpwstr>
  </property>
  <property fmtid="{D5CDD505-2E9C-101B-9397-08002B2CF9AE}" pid="3" name="MediaServiceImageTags">
    <vt:lpwstr/>
  </property>
</Properties>
</file>